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Override PartName="/word/_rels/header2.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pBdr>
          <w:top w:val="single" w:sz="4" w:space="0" w:color="000000"/>
          <w:left w:val="single" w:sz="4" w:space="0" w:color="000000"/>
          <w:bottom w:val="single" w:sz="4" w:space="0" w:color="000000"/>
          <w:right w:val="single" w:sz="4" w:space="0" w:color="000000"/>
        </w:pBdr>
        <w:shd w:fill="CCCCCC" w:val="clear"/>
        <w:spacing w:lineRule="auto" w:line="256" w:before="0" w:after="0"/>
        <w:ind w:left="1604" w:right="0" w:hanging="0"/>
        <w:rPr>
          <w:b/>
          <w:b/>
          <w:color w:val="800080"/>
          <w:sz w:val="28"/>
        </w:rPr>
      </w:pPr>
      <w:r>
        <w:rPr>
          <w:b/>
          <w:color w:val="800080"/>
          <w:sz w:val="28"/>
        </w:rPr>
        <w:t xml:space="preserve">JOB ROLE PROFILE AND PERSON SPECIFICATION </w:t>
      </w:r>
    </w:p>
    <w:p>
      <w:pPr>
        <w:pStyle w:val="Normal"/>
        <w:spacing w:lineRule="auto" w:line="256" w:before="0" w:after="0"/>
        <w:ind w:left="284" w:right="0" w:hanging="0"/>
        <w:rPr/>
      </w:pPr>
      <w:r>
        <w:rPr/>
        <w:t xml:space="preserve"> </w:t>
      </w:r>
    </w:p>
    <w:p>
      <w:pPr>
        <w:pStyle w:val="Normal"/>
        <w:ind w:left="279" w:right="1072" w:hanging="10"/>
        <w:rPr/>
      </w:pPr>
      <w:r>
        <w:rPr/>
        <w:t xml:space="preserve">Post Title and Number: </w:t>
      </w:r>
      <w:r>
        <w:rPr>
          <w:b/>
        </w:rPr>
        <w:t>Head of Estates</w:t>
      </w:r>
      <w:r>
        <w:rPr/>
        <w:t xml:space="preserve"> </w:t>
      </w:r>
    </w:p>
    <w:p>
      <w:pPr>
        <w:pStyle w:val="Normal"/>
        <w:spacing w:lineRule="auto" w:line="256" w:before="0" w:after="0"/>
        <w:ind w:left="284" w:right="0" w:hanging="0"/>
        <w:rPr/>
      </w:pPr>
      <w:r>
        <w:rPr/>
        <w:t xml:space="preserve"> </w:t>
      </w:r>
    </w:p>
    <w:p>
      <w:pPr>
        <w:pStyle w:val="Normal"/>
        <w:ind w:left="279" w:right="1072" w:hanging="10"/>
        <w:rPr/>
      </w:pPr>
      <w:r>
        <w:rPr/>
        <w:t xml:space="preserve">Present Grade:             </w:t>
      </w:r>
      <w:r>
        <w:rPr>
          <w:b/>
        </w:rPr>
        <w:t xml:space="preserve">HOS3  </w:t>
      </w:r>
      <w:r>
        <w:rPr/>
        <w:t xml:space="preserve">                         </w:t>
      </w:r>
    </w:p>
    <w:p>
      <w:pPr>
        <w:pStyle w:val="Normal"/>
        <w:spacing w:lineRule="auto" w:line="256" w:before="0" w:after="0"/>
        <w:ind w:left="284" w:right="0" w:hanging="0"/>
        <w:rPr/>
      </w:pPr>
      <w:r>
        <w:rPr/>
        <w:t xml:space="preserve"> </w:t>
      </w:r>
    </w:p>
    <w:p>
      <w:pPr>
        <w:pStyle w:val="Normal"/>
        <w:spacing w:lineRule="auto" w:line="256" w:before="0" w:after="0"/>
        <w:ind w:left="284" w:right="0" w:hanging="0"/>
        <w:rPr/>
      </w:pPr>
      <w:r>
        <w:rPr/>
        <w:t xml:space="preserve">Dept:                             </w:t>
      </w:r>
      <w:r>
        <w:rPr>
          <w:b/>
        </w:rPr>
        <w:t xml:space="preserve"> Environment &amp; Communities</w:t>
      </w:r>
      <w:r>
        <w:rPr/>
        <w:t xml:space="preserve"> </w:t>
      </w:r>
    </w:p>
    <w:p>
      <w:pPr>
        <w:pStyle w:val="Normal"/>
        <w:spacing w:lineRule="auto" w:line="256" w:before="0" w:after="0"/>
        <w:ind w:left="284" w:right="0" w:hanging="0"/>
        <w:rPr/>
      </w:pPr>
      <w:r>
        <w:rPr/>
        <w:t xml:space="preserve"> </w:t>
      </w:r>
    </w:p>
    <w:p>
      <w:pPr>
        <w:pStyle w:val="Normal"/>
        <w:ind w:left="279" w:right="1072" w:hanging="10"/>
        <w:rPr/>
      </w:pPr>
      <w:r>
        <w:rPr/>
        <w:t xml:space="preserve">Service/Section/Team: </w:t>
      </w:r>
      <w:r>
        <w:rPr>
          <w:b/>
        </w:rPr>
        <w:t>Property Services</w:t>
      </w:r>
      <w:r>
        <w:rPr/>
        <w:t xml:space="preserve"> </w:t>
      </w:r>
    </w:p>
    <w:p>
      <w:pPr>
        <w:pStyle w:val="Normal"/>
        <w:spacing w:lineRule="auto" w:line="256" w:before="0" w:after="0"/>
        <w:ind w:left="284" w:right="0" w:hanging="0"/>
        <w:rPr/>
      </w:pPr>
      <w:r>
        <w:rPr/>
        <w:t xml:space="preserve"> </w:t>
      </w:r>
    </w:p>
    <w:p>
      <w:pPr>
        <w:pStyle w:val="Normal"/>
        <w:ind w:left="279" w:right="1072" w:hanging="10"/>
        <w:rPr/>
      </w:pPr>
      <w:r>
        <w:rPr/>
        <w:t xml:space="preserve">Reports to (title):           </w:t>
      </w:r>
      <w:r>
        <w:rPr>
          <w:b/>
        </w:rPr>
        <w:t>Director</w:t>
      </w:r>
      <w:r>
        <w:rPr/>
        <w:t xml:space="preserve"> </w:t>
      </w:r>
      <w:r>
        <w:rPr>
          <w:b/>
        </w:rPr>
        <w:t xml:space="preserve">of Property </w:t>
      </w:r>
      <w:r>
        <w:rPr/>
        <w:t xml:space="preserve"> </w:t>
      </w:r>
    </w:p>
    <w:p>
      <w:pPr>
        <w:pStyle w:val="Normal"/>
        <w:spacing w:lineRule="auto" w:line="256" w:before="0" w:after="0"/>
        <w:ind w:left="284" w:right="0" w:hanging="0"/>
        <w:rPr/>
      </w:pPr>
      <w:r>
        <w:rPr/>
        <w:t xml:space="preserve"> </w:t>
      </w:r>
    </w:p>
    <w:p>
      <w:pPr>
        <w:pStyle w:val="Normal"/>
        <w:pBdr>
          <w:top w:val="single" w:sz="4" w:space="0" w:color="000000"/>
          <w:left w:val="single" w:sz="4" w:space="0" w:color="000000"/>
          <w:bottom w:val="single" w:sz="4" w:space="0" w:color="000000"/>
          <w:right w:val="single" w:sz="4" w:space="0" w:color="000000"/>
        </w:pBdr>
        <w:shd w:fill="CCCCCC" w:val="clear"/>
        <w:spacing w:before="0" w:after="6"/>
        <w:ind w:left="499" w:right="918" w:hanging="10"/>
        <w:rPr>
          <w:b/>
          <w:b/>
          <w:color w:val="800080"/>
        </w:rPr>
      </w:pPr>
      <w:r>
        <w:rPr>
          <w:b/>
          <w:color w:val="800080"/>
        </w:rPr>
        <w:t xml:space="preserve">Purpose of the Role: </w:t>
      </w:r>
    </w:p>
    <w:p>
      <w:pPr>
        <w:pStyle w:val="Normal"/>
        <w:spacing w:lineRule="auto" w:line="256" w:before="0" w:after="0"/>
        <w:ind w:left="284" w:right="0" w:hanging="0"/>
        <w:rPr/>
      </w:pPr>
      <w:r>
        <w:rPr/>
        <w:t xml:space="preserve"> </w:t>
      </w:r>
    </w:p>
    <w:p>
      <w:pPr>
        <w:pStyle w:val="Normal"/>
        <w:ind w:left="279" w:right="1072" w:hanging="10"/>
        <w:rPr/>
      </w:pPr>
      <w:r>
        <w:rPr/>
        <w:t xml:space="preserve">To act as the Council’s principal advisor on all matters of property management, development, and asset strategy for the operational and commercial property portfolio, ensuring an awareness of property as a strategic and finite resource. </w:t>
      </w:r>
    </w:p>
    <w:p>
      <w:pPr>
        <w:pStyle w:val="Normal"/>
        <w:spacing w:lineRule="auto" w:line="256" w:before="0" w:after="0"/>
        <w:ind w:left="284" w:right="0" w:hanging="0"/>
        <w:rPr/>
      </w:pPr>
      <w:r>
        <w:rPr/>
        <w:t xml:space="preserve"> </w:t>
      </w:r>
    </w:p>
    <w:p>
      <w:pPr>
        <w:pStyle w:val="Normal"/>
        <w:ind w:left="279" w:right="1072" w:hanging="10"/>
        <w:rPr/>
      </w:pPr>
      <w:r>
        <w:rPr/>
        <w:t xml:space="preserve">This role will cover all aspects of the council’s considerable property portfolio, Including retail, industrial, office, rural portfolios. All Landlord &amp; Tenant, Valuation, Development Appraisals, Capital Valuation, Business Rates Appeals, custodian of the Corporate Landlord Model and all 120-corporate assets. Advisor to all other council services including but not exclusive to education, adult social care, leisure, green spaces, highways. While the role does not deliver housing, it will be responsible for oversight of residential purposes that require valuation and market advice, up to circa £200m of future purposes. </w:t>
      </w:r>
    </w:p>
    <w:p>
      <w:pPr>
        <w:pStyle w:val="Normal"/>
        <w:spacing w:lineRule="auto" w:line="256" w:before="0" w:after="0"/>
        <w:ind w:left="284" w:right="0" w:hanging="0"/>
        <w:rPr/>
      </w:pPr>
      <w:r>
        <w:rPr/>
        <w:t xml:space="preserve"> </w:t>
      </w:r>
    </w:p>
    <w:p>
      <w:pPr>
        <w:pStyle w:val="Normal"/>
        <w:ind w:left="279" w:right="1072" w:hanging="10"/>
        <w:rPr/>
      </w:pPr>
      <w:r>
        <w:rPr/>
        <w:t xml:space="preserve">The role will also be responsible for advising on significant income revenue and receipts at Meridian Water, including the meanwhile money and future strategy for this significant and impactful development (both in terms of finances to the council and the future of that geographic location of our borough). </w:t>
      </w:r>
    </w:p>
    <w:p>
      <w:pPr>
        <w:pStyle w:val="Normal"/>
        <w:spacing w:lineRule="auto" w:line="256" w:before="0" w:after="0"/>
        <w:ind w:left="284" w:right="0" w:hanging="0"/>
        <w:rPr/>
      </w:pPr>
      <w:r>
        <w:rPr/>
        <w:t xml:space="preserve"> </w:t>
      </w:r>
    </w:p>
    <w:p>
      <w:pPr>
        <w:pStyle w:val="Normal"/>
        <w:ind w:left="279" w:right="1072" w:hanging="10"/>
        <w:rPr/>
      </w:pPr>
      <w:r>
        <w:rPr/>
        <w:t xml:space="preserve">To continue leading on the transformation of current arrangements to the Council’s adopted Corporate Landlord operating model of centralising the property function with a strategy that is aligned with that of internal services, stakeholders and key partners. </w:t>
      </w:r>
    </w:p>
    <w:p>
      <w:pPr>
        <w:pStyle w:val="Normal"/>
        <w:spacing w:lineRule="auto" w:line="256" w:before="0" w:after="0"/>
        <w:ind w:left="284" w:right="0" w:hanging="0"/>
        <w:rPr/>
      </w:pPr>
      <w:r>
        <w:rPr/>
        <w:t xml:space="preserve"> </w:t>
      </w:r>
    </w:p>
    <w:p>
      <w:pPr>
        <w:pStyle w:val="Normal"/>
        <w:ind w:left="279" w:right="1072" w:hanging="10"/>
        <w:rPr/>
      </w:pPr>
      <w:r>
        <w:rPr/>
        <w:t xml:space="preserve">To take a key strategic role in leading on the ‘Right Sizing Programme’ involving the rationalisation of the corporate estate and ensuring that it is modernised and fit to meet the overall operational and service needs of the council, for now, the immediate future and on an evolving basis for the further future.  </w:t>
      </w:r>
    </w:p>
    <w:p>
      <w:pPr>
        <w:pStyle w:val="Normal"/>
        <w:spacing w:lineRule="auto" w:line="256" w:before="0" w:after="0"/>
        <w:ind w:left="284" w:right="0" w:hanging="0"/>
        <w:rPr/>
      </w:pPr>
      <w:r>
        <w:rPr/>
        <w:t xml:space="preserve"> </w:t>
      </w:r>
    </w:p>
    <w:p>
      <w:pPr>
        <w:pStyle w:val="Normal"/>
        <w:ind w:left="279" w:right="1072" w:hanging="10"/>
        <w:rPr/>
      </w:pPr>
      <w:r>
        <w:rPr/>
        <w:t xml:space="preserve">To lead and manage the commercial and operational property teams in providing innovative strategic property solutions and professional advice ensuring a commercially astute but customer focussed approach. </w:t>
      </w:r>
    </w:p>
    <w:p>
      <w:pPr>
        <w:pStyle w:val="Normal"/>
        <w:spacing w:lineRule="auto" w:line="256" w:before="0" w:after="0"/>
        <w:ind w:left="284" w:right="0" w:hanging="0"/>
        <w:rPr/>
      </w:pPr>
      <w:r>
        <w:rPr/>
        <w:t xml:space="preserve"> </w:t>
      </w:r>
    </w:p>
    <w:p>
      <w:pPr>
        <w:pStyle w:val="Normal"/>
        <w:ind w:left="279" w:right="1072" w:hanging="10"/>
        <w:rPr/>
      </w:pPr>
      <w:r>
        <w:rPr/>
        <w:t xml:space="preserve">Review, prioritise and commission the delivery for building repairs, maintenance and compliance on the operational estate. </w:t>
      </w:r>
    </w:p>
    <w:p>
      <w:pPr>
        <w:pStyle w:val="Normal"/>
        <w:spacing w:lineRule="auto" w:line="256" w:before="0" w:after="0"/>
        <w:ind w:left="284" w:right="0" w:hanging="0"/>
        <w:rPr/>
      </w:pPr>
      <w:r>
        <w:rPr/>
        <w:t xml:space="preserve"> </w:t>
      </w:r>
    </w:p>
    <w:p>
      <w:pPr>
        <w:pStyle w:val="Normal"/>
        <w:ind w:left="279" w:right="1072" w:hanging="10"/>
        <w:rPr/>
      </w:pPr>
      <w:r>
        <w:rPr/>
        <w:t xml:space="preserve">Carry out annual reviews of the commercial and operational property portfolios for their fitness for purpose, alignment with service strategy and level of use, challenging service and partner occupiers where necessary and recommending underutilised assets for disposal, development or alternative use. </w:t>
      </w:r>
    </w:p>
    <w:p>
      <w:pPr>
        <w:pStyle w:val="Normal"/>
        <w:spacing w:lineRule="auto" w:line="256" w:before="0" w:after="0"/>
        <w:ind w:left="284" w:right="0" w:hanging="0"/>
        <w:rPr/>
      </w:pPr>
      <w:r>
        <w:rPr/>
        <w:t xml:space="preserve"> </w:t>
      </w:r>
    </w:p>
    <w:p>
      <w:pPr>
        <w:pStyle w:val="Normal"/>
        <w:ind w:left="279" w:right="1072" w:hanging="10"/>
        <w:rPr/>
      </w:pPr>
      <w:r>
        <w:rPr/>
        <w:t xml:space="preserve">Leading the team on asset management and estate management of the commercial portfolio, optimising the council’s commercial estate (land and building for occupation and investment), the rural portfolio, all working towards corporate objectives, including generating income and supporting the delivery of excellent services. </w:t>
      </w:r>
    </w:p>
    <w:p>
      <w:pPr>
        <w:pStyle w:val="Normal"/>
        <w:spacing w:lineRule="auto" w:line="256" w:before="0" w:after="0"/>
        <w:ind w:left="284" w:right="0" w:hanging="0"/>
        <w:rPr/>
      </w:pPr>
      <w:r>
        <w:rPr/>
        <w:t xml:space="preserve"> </w:t>
      </w:r>
    </w:p>
    <w:p>
      <w:pPr>
        <w:pStyle w:val="Normal"/>
        <w:ind w:left="279" w:right="1072" w:hanging="10"/>
        <w:rPr/>
      </w:pPr>
      <w:r>
        <w:rPr/>
        <w:t xml:space="preserve">Leading the team on managing the relevant commercial assets and portfolios, ensuring compliance with legal agreements and minimising exposure to risk. </w:t>
      </w:r>
    </w:p>
    <w:p>
      <w:pPr>
        <w:pStyle w:val="Normal"/>
        <w:spacing w:lineRule="auto" w:line="256" w:before="0" w:after="0"/>
        <w:ind w:left="284" w:right="0" w:hanging="0"/>
        <w:rPr/>
      </w:pPr>
      <w:r>
        <w:rPr/>
        <w:t xml:space="preserve"> </w:t>
      </w:r>
    </w:p>
    <w:p>
      <w:pPr>
        <w:pStyle w:val="Normal"/>
        <w:ind w:left="279" w:right="1072" w:hanging="10"/>
        <w:rPr/>
      </w:pPr>
      <w:r>
        <w:rPr/>
        <w:t xml:space="preserve">Be an active member of the wider Enfield Property Services team. </w:t>
      </w:r>
    </w:p>
    <w:p>
      <w:pPr>
        <w:pStyle w:val="Normal"/>
        <w:spacing w:lineRule="auto" w:line="256" w:before="0" w:after="0"/>
        <w:ind w:left="284" w:right="0" w:hanging="0"/>
        <w:rPr/>
      </w:pPr>
      <w:r>
        <w:rPr/>
        <w:t xml:space="preserve"> </w:t>
      </w:r>
    </w:p>
    <w:p>
      <w:pPr>
        <w:pStyle w:val="Normal"/>
        <w:pBdr>
          <w:top w:val="single" w:sz="4" w:space="0" w:color="000000"/>
          <w:left w:val="single" w:sz="4" w:space="0" w:color="000000"/>
          <w:bottom w:val="single" w:sz="4" w:space="0" w:color="000000"/>
          <w:right w:val="single" w:sz="4" w:space="0" w:color="000000"/>
        </w:pBdr>
        <w:shd w:fill="CCCCCC" w:val="clear"/>
        <w:spacing w:before="0" w:after="6"/>
        <w:ind w:left="499" w:right="918" w:hanging="10"/>
        <w:rPr>
          <w:b/>
          <w:b/>
          <w:color w:val="800080"/>
        </w:rPr>
      </w:pPr>
      <w:r>
        <w:rPr>
          <w:b/>
          <w:color w:val="800080"/>
        </w:rPr>
        <w:t xml:space="preserve">Dimensions including Structure Chart: </w:t>
      </w:r>
    </w:p>
    <w:p>
      <w:pPr>
        <w:pStyle w:val="Normal"/>
        <w:spacing w:lineRule="auto" w:line="256" w:before="0" w:after="0"/>
        <w:ind w:left="92" w:right="0" w:hanging="0"/>
        <w:rPr/>
      </w:pPr>
      <w:r>
        <w:rPr/>
        <w:t xml:space="preserve"> </w:t>
      </w:r>
    </w:p>
    <w:p>
      <w:pPr>
        <w:pStyle w:val="Normal"/>
        <w:numPr>
          <w:ilvl w:val="0"/>
          <w:numId w:val="2"/>
        </w:numPr>
        <w:ind w:left="552" w:right="1072" w:hanging="283"/>
        <w:rPr/>
      </w:pPr>
      <w:r>
        <w:rPr/>
        <w:t xml:space="preserve">Responsible for the Council’s operational and investment property portfolio with a value of Circa £1bn. </w:t>
      </w:r>
    </w:p>
    <w:p>
      <w:pPr>
        <w:pStyle w:val="Normal"/>
        <w:numPr>
          <w:ilvl w:val="0"/>
          <w:numId w:val="2"/>
        </w:numPr>
        <w:ind w:left="552" w:right="1072" w:hanging="283"/>
        <w:rPr/>
      </w:pPr>
      <w:r>
        <w:rPr/>
        <w:t xml:space="preserve">Responsible for the property investment fund with purchase values between £5m and £25m </w:t>
      </w:r>
    </w:p>
    <w:p>
      <w:pPr>
        <w:pStyle w:val="Normal"/>
        <w:numPr>
          <w:ilvl w:val="0"/>
          <w:numId w:val="2"/>
        </w:numPr>
        <w:ind w:left="552" w:right="1072" w:hanging="283"/>
        <w:rPr/>
      </w:pPr>
      <w:r>
        <w:rPr/>
        <w:t xml:space="preserve">Responsible for JVs with developers and direct developments of up to £30m </w:t>
      </w:r>
    </w:p>
    <w:p>
      <w:pPr>
        <w:pStyle w:val="Normal"/>
        <w:numPr>
          <w:ilvl w:val="0"/>
          <w:numId w:val="2"/>
        </w:numPr>
        <w:ind w:left="552" w:right="1072" w:hanging="283"/>
        <w:rPr/>
      </w:pPr>
      <w:r>
        <w:rPr/>
        <w:t xml:space="preserve">Responsible for income of circa £7.5m per annum across the non-residential portfolio </w:t>
      </w:r>
    </w:p>
    <w:p>
      <w:pPr>
        <w:pStyle w:val="Normal"/>
        <w:spacing w:lineRule="auto" w:line="256" w:before="0" w:after="0"/>
        <w:ind w:left="284" w:right="0" w:hanging="0"/>
        <w:rPr/>
      </w:pPr>
      <w:r>
        <w:rPr/>
        <w:t xml:space="preserve"> </w:t>
      </w:r>
    </w:p>
    <w:p>
      <w:pPr>
        <w:pStyle w:val="Normal"/>
        <w:numPr>
          <w:ilvl w:val="0"/>
          <w:numId w:val="2"/>
        </w:numPr>
        <w:ind w:left="552" w:right="1072" w:hanging="283"/>
        <w:rPr/>
      </w:pPr>
      <w:r>
        <w:rPr/>
        <w:t xml:space="preserve">Structure Chart: </w:t>
      </w:r>
    </w:p>
    <w:p>
      <w:pPr>
        <w:pStyle w:val="Normal"/>
        <w:spacing w:lineRule="auto" w:line="256" w:before="0" w:after="0"/>
        <w:ind w:left="1004" w:right="0" w:hanging="0"/>
        <w:rPr/>
      </w:pPr>
      <w:r>
        <w:rPr/>
        <w:t xml:space="preserve"> </w:t>
      </w:r>
    </w:p>
    <w:p>
      <w:pPr>
        <w:pStyle w:val="Normal"/>
        <w:spacing w:lineRule="auto" w:line="256" w:before="0" w:after="0"/>
        <w:ind w:left="0" w:right="0" w:hanging="0"/>
        <w:jc w:val="right"/>
        <w:rPr/>
      </w:pPr>
      <w:r>
        <w:rPr/>
        <w:drawing>
          <wp:inline distT="0" distB="0" distL="0" distR="0">
            <wp:extent cx="6379210" cy="342519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4" t="-7" r="-4" b="-7"/>
                    <a:stretch>
                      <a:fillRect/>
                    </a:stretch>
                  </pic:blipFill>
                  <pic:spPr bwMode="auto">
                    <a:xfrm>
                      <a:off x="0" y="0"/>
                      <a:ext cx="6379210" cy="3425190"/>
                    </a:xfrm>
                    <a:prstGeom prst="rect">
                      <a:avLst/>
                    </a:prstGeom>
                  </pic:spPr>
                </pic:pic>
              </a:graphicData>
            </a:graphic>
          </wp:inline>
        </w:drawing>
      </w:r>
      <w:r>
        <w:rPr/>
        <w:t xml:space="preserve"> </w:t>
      </w:r>
    </w:p>
    <w:p>
      <w:pPr>
        <w:pStyle w:val="Normal"/>
        <w:spacing w:lineRule="auto" w:line="256" w:before="0" w:after="0"/>
        <w:ind w:left="0" w:right="0" w:hanging="0"/>
        <w:rPr/>
      </w:pPr>
      <w:r>
        <w:rPr/>
        <w:t xml:space="preserve">  </w:t>
      </w:r>
    </w:p>
    <w:p>
      <w:pPr>
        <w:pStyle w:val="Normal"/>
        <w:spacing w:lineRule="auto" w:line="256" w:before="0" w:after="0"/>
        <w:ind w:left="1004" w:right="0" w:hanging="0"/>
        <w:rPr/>
      </w:pPr>
      <w:r>
        <w:rPr/>
        <w:t xml:space="preserve"> </w:t>
      </w:r>
    </w:p>
    <w:p>
      <w:pPr>
        <w:pStyle w:val="Normal"/>
        <w:spacing w:lineRule="auto" w:line="256" w:before="0" w:after="0"/>
        <w:ind w:left="284" w:right="0" w:hanging="0"/>
        <w:rPr/>
      </w:pPr>
      <w:r>
        <w:rPr/>
        <w:t xml:space="preserve"> </w:t>
      </w:r>
    </w:p>
    <w:p>
      <w:pPr>
        <w:pStyle w:val="Normal"/>
        <w:numPr>
          <w:ilvl w:val="0"/>
          <w:numId w:val="2"/>
        </w:numPr>
        <w:ind w:left="552" w:right="1072" w:hanging="283"/>
        <w:rPr/>
      </w:pPr>
      <w:r>
        <w:rPr/>
        <w:t xml:space="preserve">Direct reports: five in number  </w:t>
      </w:r>
    </w:p>
    <w:p>
      <w:pPr>
        <w:pStyle w:val="Normal"/>
        <w:spacing w:lineRule="auto" w:line="256" w:before="0" w:after="0"/>
        <w:ind w:left="284" w:right="0" w:hanging="0"/>
        <w:rPr/>
      </w:pPr>
      <w:r>
        <w:rPr/>
        <w:t xml:space="preserve"> </w:t>
      </w:r>
    </w:p>
    <w:p>
      <w:pPr>
        <w:pStyle w:val="Normal"/>
        <w:numPr>
          <w:ilvl w:val="0"/>
          <w:numId w:val="2"/>
        </w:numPr>
        <w:ind w:left="552" w:right="1072" w:hanging="283"/>
        <w:rPr/>
      </w:pPr>
      <w:r>
        <w:rPr/>
        <w:t xml:space="preserve">Reports to the Director of Property  </w:t>
      </w:r>
    </w:p>
    <w:p>
      <w:pPr>
        <w:pStyle w:val="Normal"/>
        <w:spacing w:lineRule="auto" w:line="256" w:before="0" w:after="0"/>
        <w:ind w:left="284" w:right="0" w:hanging="0"/>
        <w:rPr/>
      </w:pPr>
      <w:r>
        <w:rPr/>
        <w:t xml:space="preserve"> </w:t>
      </w:r>
    </w:p>
    <w:p>
      <w:pPr>
        <w:pStyle w:val="Normal"/>
        <w:spacing w:lineRule="auto" w:line="256" w:before="0" w:after="0"/>
        <w:ind w:left="284" w:right="0" w:hanging="0"/>
        <w:rPr/>
      </w:pPr>
      <w:r>
        <w:rPr/>
        <w:t xml:space="preserve"> </w:t>
      </w:r>
    </w:p>
    <w:p>
      <w:pPr>
        <w:pStyle w:val="Normal"/>
        <w:spacing w:lineRule="auto" w:line="256" w:before="0" w:after="0"/>
        <w:ind w:left="284" w:right="0" w:hanging="0"/>
        <w:rPr/>
      </w:pPr>
      <w:r>
        <w:rPr/>
        <w:t xml:space="preserve"> </w:t>
      </w:r>
    </w:p>
    <w:p>
      <w:pPr>
        <w:pStyle w:val="Normal"/>
        <w:spacing w:lineRule="auto" w:line="256" w:before="0" w:after="0"/>
        <w:ind w:left="284" w:right="0" w:hanging="0"/>
        <w:rPr/>
      </w:pPr>
      <w:r>
        <w:rPr/>
        <w:t xml:space="preserve"> </w:t>
      </w:r>
    </w:p>
    <w:p>
      <w:pPr>
        <w:pStyle w:val="Normal"/>
        <w:spacing w:lineRule="auto" w:line="256" w:before="0" w:after="0"/>
        <w:ind w:left="284" w:right="0" w:hanging="0"/>
        <w:rPr/>
      </w:pPr>
      <w:r>
        <w:rPr/>
        <w:t xml:space="preserve"> </w:t>
      </w:r>
    </w:p>
    <w:p>
      <w:pPr>
        <w:pStyle w:val="Normal"/>
        <w:spacing w:lineRule="auto" w:line="256" w:before="0" w:after="0"/>
        <w:ind w:left="284" w:right="0" w:hanging="0"/>
        <w:rPr/>
      </w:pPr>
      <w:r>
        <w:rPr/>
        <w:t xml:space="preserve"> </w:t>
      </w:r>
    </w:p>
    <w:p>
      <w:pPr>
        <w:pStyle w:val="Normal"/>
        <w:spacing w:lineRule="auto" w:line="256" w:before="0" w:after="0"/>
        <w:ind w:left="284" w:right="0" w:hanging="0"/>
        <w:rPr/>
      </w:pPr>
      <w:r>
        <w:rPr/>
        <w:t xml:space="preserve"> </w:t>
      </w:r>
    </w:p>
    <w:p>
      <w:pPr>
        <w:pStyle w:val="Normal"/>
        <w:pBdr>
          <w:top w:val="single" w:sz="4" w:space="0" w:color="000000"/>
          <w:left w:val="single" w:sz="4" w:space="0" w:color="000000"/>
          <w:bottom w:val="single" w:sz="4" w:space="0" w:color="000000"/>
          <w:right w:val="single" w:sz="4" w:space="0" w:color="000000"/>
        </w:pBdr>
        <w:shd w:fill="CCCCCC" w:val="clear"/>
        <w:spacing w:lineRule="auto" w:line="256" w:before="0" w:after="0"/>
        <w:ind w:left="10" w:right="7652" w:hanging="10"/>
        <w:jc w:val="right"/>
        <w:rPr>
          <w:b/>
          <w:b/>
          <w:color w:val="800080"/>
        </w:rPr>
      </w:pPr>
      <w:r>
        <w:rPr>
          <w:b/>
          <w:color w:val="800080"/>
        </w:rPr>
        <w:t xml:space="preserve">Key Accountabilities: </w:t>
      </w:r>
    </w:p>
    <w:p>
      <w:pPr>
        <w:pStyle w:val="Normal"/>
        <w:spacing w:lineRule="auto" w:line="256" w:before="0" w:after="0"/>
        <w:ind w:left="284" w:right="0" w:hanging="0"/>
        <w:rPr/>
      </w:pPr>
      <w:r>
        <w:rPr/>
        <w:t xml:space="preserve"> </w:t>
      </w:r>
    </w:p>
    <w:tbl>
      <w:tblPr>
        <w:tblW w:w="8922" w:type="dxa"/>
        <w:jc w:val="left"/>
        <w:tblInd w:w="391" w:type="dxa"/>
        <w:tblCellMar>
          <w:top w:w="47" w:type="dxa"/>
          <w:left w:w="108" w:type="dxa"/>
          <w:bottom w:w="0" w:type="dxa"/>
          <w:right w:w="93" w:type="dxa"/>
        </w:tblCellMar>
      </w:tblPr>
      <w:tblGrid>
        <w:gridCol w:w="7499"/>
        <w:gridCol w:w="1423"/>
      </w:tblGrid>
      <w:tr>
        <w:trPr>
          <w:trHeight w:val="1390"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56" w:before="0" w:after="0"/>
              <w:ind w:left="0" w:right="0" w:hanging="0"/>
              <w:rPr>
                <w:b/>
                <w:b/>
                <w:color w:val="800080"/>
              </w:rPr>
            </w:pPr>
            <w:r>
              <w:rPr>
                <w:b/>
                <w:color w:val="800080"/>
              </w:rPr>
              <w:t xml:space="preserve">Accountabilities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40" w:before="0" w:after="0"/>
              <w:ind w:left="0" w:right="0" w:hanging="0"/>
              <w:rPr>
                <w:b/>
                <w:b/>
                <w:color w:val="800080"/>
                <w:sz w:val="20"/>
              </w:rPr>
            </w:pPr>
            <w:r>
              <w:rPr>
                <w:b/>
                <w:color w:val="800080"/>
                <w:sz w:val="20"/>
              </w:rPr>
              <w:t xml:space="preserve">Anticipated level of </w:t>
            </w:r>
          </w:p>
          <w:p>
            <w:pPr>
              <w:pStyle w:val="Normal"/>
              <w:spacing w:lineRule="auto" w:line="256" w:before="0" w:after="0"/>
              <w:ind w:left="0" w:right="0" w:hanging="0"/>
              <w:rPr>
                <w:b/>
                <w:b/>
                <w:color w:val="800080"/>
                <w:sz w:val="20"/>
              </w:rPr>
            </w:pPr>
            <w:r>
              <w:rPr>
                <w:b/>
                <w:color w:val="800080"/>
                <w:sz w:val="20"/>
              </w:rPr>
              <w:t xml:space="preserve">time   </w:t>
            </w:r>
          </w:p>
          <w:p>
            <w:pPr>
              <w:pStyle w:val="Normal"/>
              <w:spacing w:lineRule="auto" w:line="256" w:before="0" w:after="0"/>
              <w:ind w:left="0" w:right="0" w:hanging="0"/>
              <w:rPr>
                <w:b/>
                <w:b/>
                <w:color w:val="800080"/>
                <w:sz w:val="20"/>
              </w:rPr>
            </w:pPr>
            <w:r>
              <w:rPr>
                <w:b/>
                <w:color w:val="800080"/>
                <w:sz w:val="20"/>
              </w:rPr>
              <w:t xml:space="preserve">H = High </w:t>
            </w:r>
          </w:p>
          <w:p>
            <w:pPr>
              <w:pStyle w:val="Normal"/>
              <w:spacing w:lineRule="auto" w:line="256" w:before="0" w:after="0"/>
              <w:ind w:left="0" w:right="0" w:hanging="0"/>
              <w:jc w:val="both"/>
              <w:rPr>
                <w:b/>
                <w:b/>
                <w:color w:val="800080"/>
                <w:sz w:val="20"/>
              </w:rPr>
            </w:pPr>
            <w:r>
              <w:rPr>
                <w:b/>
                <w:color w:val="800080"/>
                <w:sz w:val="20"/>
              </w:rPr>
              <w:t xml:space="preserve">M = Medium </w:t>
            </w:r>
          </w:p>
          <w:p>
            <w:pPr>
              <w:pStyle w:val="Normal"/>
              <w:spacing w:lineRule="auto" w:line="256" w:before="0" w:after="0"/>
              <w:ind w:left="0" w:right="0" w:hanging="0"/>
              <w:rPr>
                <w:b/>
                <w:b/>
                <w:color w:val="800080"/>
                <w:sz w:val="20"/>
              </w:rPr>
            </w:pPr>
            <w:r>
              <w:rPr>
                <w:b/>
                <w:color w:val="800080"/>
                <w:sz w:val="20"/>
              </w:rPr>
              <w:t xml:space="preserve">L = low </w:t>
            </w:r>
          </w:p>
        </w:tc>
      </w:tr>
      <w:tr>
        <w:trPr>
          <w:trHeight w:val="643"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56" w:before="0" w:after="0"/>
              <w:ind w:left="360" w:right="0" w:hanging="360"/>
              <w:rPr/>
            </w:pPr>
            <w:r>
              <w:rPr/>
              <w:t xml:space="preserve">1. Lead and manage the commercial and operational property teams to meet the objectives of the Strategic Asset Management Plan (SAMP)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H </w:t>
            </w:r>
          </w:p>
        </w:tc>
      </w:tr>
      <w:tr>
        <w:trPr>
          <w:trHeight w:val="644"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56" w:before="0" w:after="0"/>
              <w:ind w:left="360" w:right="0" w:hanging="360"/>
              <w:rPr/>
            </w:pPr>
            <w:r>
              <w:rPr/>
              <w:t xml:space="preserve">2. Lead and manage the optimisation of revenue through a proactive asset management process and continued review of options.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H </w:t>
            </w:r>
          </w:p>
        </w:tc>
      </w:tr>
      <w:tr>
        <w:trPr>
          <w:trHeight w:val="679"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56" w:before="0" w:after="0"/>
              <w:ind w:left="360" w:right="0" w:hanging="360"/>
              <w:rPr/>
            </w:pPr>
            <w:r>
              <w:rPr/>
              <w:t xml:space="preserve">3. Participate in strategic decision-making concerning the Council’s portfolio of property interests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H </w:t>
            </w:r>
          </w:p>
        </w:tc>
      </w:tr>
      <w:tr>
        <w:trPr>
          <w:trHeight w:val="463"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56" w:before="0" w:after="0"/>
              <w:ind w:left="0" w:right="0" w:hanging="0"/>
              <w:rPr/>
            </w:pPr>
            <w:r>
              <w:rPr/>
              <w:t xml:space="preserve">4. Implement and develop further the new Corporate Landlord Policy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H </w:t>
            </w:r>
          </w:p>
        </w:tc>
      </w:tr>
      <w:tr>
        <w:trPr>
          <w:trHeight w:val="696"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56" w:before="0" w:after="0"/>
              <w:ind w:left="360" w:right="0" w:hanging="360"/>
              <w:rPr/>
            </w:pPr>
            <w:r>
              <w:rPr/>
              <w:t xml:space="preserve">5. Lead and promote the transformation to Corporate Landlord in collaboration with Council services and partners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H </w:t>
            </w:r>
          </w:p>
        </w:tc>
      </w:tr>
      <w:tr>
        <w:trPr>
          <w:trHeight w:val="708"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56" w:before="0" w:after="0"/>
              <w:ind w:left="360" w:right="0" w:hanging="360"/>
              <w:rPr/>
            </w:pPr>
            <w:r>
              <w:rPr/>
              <w:t xml:space="preserve">6. Assist services and partners in their asset management reviews and planning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H </w:t>
            </w:r>
          </w:p>
        </w:tc>
      </w:tr>
      <w:tr>
        <w:trPr>
          <w:trHeight w:val="715"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56" w:before="0" w:after="0"/>
              <w:ind w:left="0" w:right="0" w:hanging="0"/>
              <w:rPr/>
            </w:pPr>
            <w:r>
              <w:rPr/>
              <w:t xml:space="preserve">7. Assist in the delivery of annual asset valuations in accordance with </w:t>
            </w:r>
          </w:p>
          <w:p>
            <w:pPr>
              <w:pStyle w:val="Normal"/>
              <w:spacing w:lineRule="auto" w:line="256" w:before="0" w:after="0"/>
              <w:ind w:left="360" w:right="0" w:hanging="0"/>
              <w:rPr/>
            </w:pPr>
            <w:r>
              <w:rPr/>
              <w:t xml:space="preserve">Royal Institute of Chartered Surveyors (RICS) and CIPFA regulations.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M </w:t>
            </w:r>
          </w:p>
        </w:tc>
      </w:tr>
      <w:tr>
        <w:trPr>
          <w:trHeight w:val="864"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56" w:before="0" w:after="0"/>
              <w:ind w:left="360" w:right="0" w:hanging="360"/>
              <w:rPr/>
            </w:pPr>
            <w:r>
              <w:rPr/>
              <w:t xml:space="preserve">8. Oversee the Council’s accommodation requirements from a strategic perspective, including space management and utilisation, internal staff moves, and chairing the Council’s ‘Accommodation Board’.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M </w:t>
            </w:r>
          </w:p>
        </w:tc>
      </w:tr>
      <w:tr>
        <w:trPr>
          <w:trHeight w:val="1526"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35" w:before="0" w:after="2"/>
              <w:ind w:left="360" w:right="0" w:hanging="360"/>
              <w:rPr/>
            </w:pPr>
            <w:r>
              <w:rPr/>
              <w:t xml:space="preserve">9. Lead on the strategic focus of the Right Sizing Programme, including partnership working with services, understanding costs, opportunities for decreasing expenditure, increasing vital revenue and receipts; along with technical work including valuation, landlord and tenant, asset management, disposals and acquisitions. </w:t>
            </w:r>
          </w:p>
          <w:p>
            <w:pPr>
              <w:pStyle w:val="Normal"/>
              <w:spacing w:lineRule="auto" w:line="256" w:before="0" w:after="0"/>
              <w:ind w:left="360" w:right="0" w:hanging="0"/>
              <w:rPr/>
            </w:pPr>
            <w:r>
              <w:rPr/>
              <w:t xml:space="preserve">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M </w:t>
            </w:r>
          </w:p>
        </w:tc>
      </w:tr>
      <w:tr>
        <w:trPr>
          <w:trHeight w:val="1275"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40" w:before="0" w:after="0"/>
              <w:ind w:left="360" w:right="0" w:hanging="360"/>
              <w:rPr/>
            </w:pPr>
            <w:r>
              <w:rPr/>
              <w:t xml:space="preserve">10. Working closely with the Right Sizing team in FM to direct the management of the delivery of the larger capital works required for the programme, retaining responsibility for General Practice Surveying work and delivering smaller capital works required for the programme. </w:t>
            </w:r>
          </w:p>
          <w:p>
            <w:pPr>
              <w:pStyle w:val="Normal"/>
              <w:spacing w:lineRule="auto" w:line="256" w:before="0" w:after="0"/>
              <w:ind w:left="360" w:right="0" w:hanging="0"/>
              <w:rPr/>
            </w:pPr>
            <w:r>
              <w:rPr/>
              <w:t xml:space="preserve">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M </w:t>
            </w:r>
          </w:p>
        </w:tc>
      </w:tr>
      <w:tr>
        <w:trPr>
          <w:trHeight w:val="1008"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56" w:before="0" w:after="0"/>
              <w:ind w:left="360" w:right="0" w:hanging="360"/>
              <w:rPr/>
            </w:pPr>
            <w:r>
              <w:rPr/>
              <w:t xml:space="preserve">11. Oversee action against trespass and intrusions on Council controlled property, including via court proceedings, and to manage gypsy and traveller stop-over and permanent site provision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L </w:t>
            </w:r>
          </w:p>
        </w:tc>
      </w:tr>
      <w:tr>
        <w:trPr>
          <w:trHeight w:val="408"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56" w:before="0" w:after="0"/>
              <w:ind w:left="0" w:right="0" w:hanging="0"/>
              <w:rPr/>
            </w:pPr>
            <w:r>
              <w:rPr/>
              <w:t xml:space="preserve">12. Overall estate management for commercial and operational property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M </w:t>
            </w:r>
          </w:p>
        </w:tc>
      </w:tr>
      <w:tr>
        <w:trPr>
          <w:trHeight w:val="713"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56" w:before="0" w:after="0"/>
              <w:ind w:left="360" w:right="0" w:hanging="360"/>
              <w:rPr/>
            </w:pPr>
            <w:r>
              <w:rPr/>
              <w:t xml:space="preserve">13. Manage the commercial and operational property teams and external professional advisors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H </w:t>
            </w:r>
          </w:p>
        </w:tc>
      </w:tr>
      <w:tr>
        <w:trPr>
          <w:trHeight w:val="696"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56" w:before="0" w:after="0"/>
              <w:ind w:left="360" w:right="0" w:hanging="360"/>
              <w:rPr/>
            </w:pPr>
            <w:r>
              <w:rPr/>
              <w:t xml:space="preserve">14. Provide professional supervision and support for staff involved in (RICS) Assessment of Professional Competence (APC)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L </w:t>
            </w:r>
          </w:p>
        </w:tc>
      </w:tr>
      <w:tr>
        <w:trPr>
          <w:trHeight w:val="1390"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56" w:before="0" w:after="0"/>
              <w:ind w:left="0" w:right="0" w:hanging="0"/>
              <w:rPr>
                <w:b/>
                <w:b/>
                <w:color w:val="800080"/>
              </w:rPr>
            </w:pPr>
            <w:r>
              <w:rPr>
                <w:b/>
                <w:color w:val="800080"/>
              </w:rPr>
              <w:t xml:space="preserve">Accountabilities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40" w:before="0" w:after="0"/>
              <w:ind w:left="0" w:right="0" w:hanging="0"/>
              <w:rPr>
                <w:b/>
                <w:b/>
                <w:color w:val="800080"/>
                <w:sz w:val="20"/>
              </w:rPr>
            </w:pPr>
            <w:r>
              <w:rPr>
                <w:b/>
                <w:color w:val="800080"/>
                <w:sz w:val="20"/>
              </w:rPr>
              <w:t xml:space="preserve">Anticipated level of </w:t>
            </w:r>
          </w:p>
          <w:p>
            <w:pPr>
              <w:pStyle w:val="Normal"/>
              <w:spacing w:lineRule="auto" w:line="256" w:before="0" w:after="0"/>
              <w:ind w:left="0" w:right="0" w:hanging="0"/>
              <w:rPr>
                <w:b/>
                <w:b/>
                <w:color w:val="800080"/>
                <w:sz w:val="20"/>
              </w:rPr>
            </w:pPr>
            <w:r>
              <w:rPr>
                <w:b/>
                <w:color w:val="800080"/>
                <w:sz w:val="20"/>
              </w:rPr>
              <w:t xml:space="preserve">time   </w:t>
            </w:r>
          </w:p>
          <w:p>
            <w:pPr>
              <w:pStyle w:val="Normal"/>
              <w:spacing w:lineRule="auto" w:line="256" w:before="0" w:after="0"/>
              <w:ind w:left="0" w:right="0" w:hanging="0"/>
              <w:rPr>
                <w:b/>
                <w:b/>
                <w:color w:val="800080"/>
                <w:sz w:val="20"/>
              </w:rPr>
            </w:pPr>
            <w:r>
              <w:rPr>
                <w:b/>
                <w:color w:val="800080"/>
                <w:sz w:val="20"/>
              </w:rPr>
              <w:t xml:space="preserve">H = High </w:t>
            </w:r>
          </w:p>
          <w:p>
            <w:pPr>
              <w:pStyle w:val="Normal"/>
              <w:spacing w:lineRule="auto" w:line="256" w:before="0" w:after="0"/>
              <w:ind w:left="0" w:right="0" w:hanging="0"/>
              <w:jc w:val="both"/>
              <w:rPr>
                <w:b/>
                <w:b/>
                <w:color w:val="800080"/>
                <w:sz w:val="20"/>
              </w:rPr>
            </w:pPr>
            <w:r>
              <w:rPr>
                <w:b/>
                <w:color w:val="800080"/>
                <w:sz w:val="20"/>
              </w:rPr>
              <w:t xml:space="preserve">M = Medium </w:t>
            </w:r>
          </w:p>
          <w:p>
            <w:pPr>
              <w:pStyle w:val="Normal"/>
              <w:spacing w:lineRule="auto" w:line="256" w:before="0" w:after="0"/>
              <w:ind w:left="0" w:right="0" w:hanging="0"/>
              <w:rPr>
                <w:b/>
                <w:b/>
                <w:color w:val="800080"/>
                <w:sz w:val="20"/>
              </w:rPr>
            </w:pPr>
            <w:r>
              <w:rPr>
                <w:b/>
                <w:color w:val="800080"/>
                <w:sz w:val="20"/>
              </w:rPr>
              <w:t xml:space="preserve">L = low </w:t>
            </w:r>
          </w:p>
        </w:tc>
      </w:tr>
      <w:tr>
        <w:trPr>
          <w:trHeight w:val="718"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56" w:before="0" w:after="0"/>
              <w:ind w:left="360" w:right="0" w:hanging="360"/>
              <w:rPr/>
            </w:pPr>
            <w:r>
              <w:rPr/>
              <w:t xml:space="preserve">15. Develop and monitor KPI’s and where relevant performance frameworks across the commercial and operational property team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M </w:t>
            </w:r>
          </w:p>
        </w:tc>
      </w:tr>
      <w:tr>
        <w:trPr>
          <w:trHeight w:val="701"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56" w:before="0" w:after="0"/>
              <w:ind w:left="360" w:right="0" w:hanging="360"/>
              <w:rPr/>
            </w:pPr>
            <w:r>
              <w:rPr/>
              <w:t xml:space="preserve">16. Develop and maintain knowledge through Continual Professional Development and maintain relevant professional memberships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L </w:t>
            </w:r>
          </w:p>
        </w:tc>
      </w:tr>
      <w:tr>
        <w:trPr>
          <w:trHeight w:val="1023"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40" w:before="0" w:after="1"/>
              <w:ind w:left="360" w:right="712" w:hanging="360"/>
              <w:jc w:val="both"/>
              <w:rPr/>
            </w:pPr>
            <w:r>
              <w:rPr/>
              <w:t xml:space="preserve">17. Provide specialist property development advice to Council departments on capital projects, identify and recommend capital project process improvements. </w:t>
            </w:r>
          </w:p>
          <w:p>
            <w:pPr>
              <w:pStyle w:val="Normal"/>
              <w:spacing w:lineRule="auto" w:line="256" w:before="0" w:after="0"/>
              <w:ind w:left="360" w:right="0" w:hanging="0"/>
              <w:rPr/>
            </w:pPr>
            <w:r>
              <w:rPr/>
              <w:t xml:space="preserve">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M </w:t>
            </w:r>
          </w:p>
        </w:tc>
      </w:tr>
      <w:tr>
        <w:trPr>
          <w:trHeight w:val="1274"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56" w:before="0" w:after="0"/>
              <w:ind w:left="360" w:right="0" w:hanging="360"/>
              <w:rPr/>
            </w:pPr>
            <w:r>
              <w:rPr/>
              <w:t xml:space="preserve">18. Lead on identifying new investment opportunities linked to performance forecasting and property due diligence, identify reinvestment opportunities alongside retained assets to deliver higher yields, ringfence funding from redundant, obsolete or poor performing assets.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M </w:t>
            </w:r>
          </w:p>
        </w:tc>
      </w:tr>
      <w:tr>
        <w:trPr>
          <w:trHeight w:val="770"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40" w:before="0" w:after="0"/>
              <w:ind w:left="360" w:right="0" w:hanging="360"/>
              <w:rPr/>
            </w:pPr>
            <w:r>
              <w:rPr/>
              <w:t xml:space="preserve">19. Oversee and arrange for the management of properties held for investment and properties and land held for future development. </w:t>
            </w:r>
          </w:p>
          <w:p>
            <w:pPr>
              <w:pStyle w:val="Normal"/>
              <w:spacing w:lineRule="auto" w:line="256" w:before="0" w:after="0"/>
              <w:ind w:left="720" w:right="0" w:hanging="0"/>
              <w:rPr/>
            </w:pPr>
            <w:r>
              <w:rPr/>
              <w:t xml:space="preserve">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M </w:t>
            </w:r>
          </w:p>
        </w:tc>
      </w:tr>
      <w:tr>
        <w:trPr>
          <w:trHeight w:val="768"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35" w:before="0" w:after="2"/>
              <w:ind w:left="360" w:right="0" w:hanging="360"/>
              <w:rPr/>
            </w:pPr>
            <w:r>
              <w:rPr/>
              <w:t xml:space="preserve">20. Lead on the execution of UK real estate investment deals from inception to closure working closely with all stakeholders. </w:t>
            </w:r>
          </w:p>
          <w:p>
            <w:pPr>
              <w:pStyle w:val="Normal"/>
              <w:spacing w:lineRule="auto" w:line="256" w:before="0" w:after="0"/>
              <w:ind w:left="720" w:right="0" w:hanging="0"/>
              <w:rPr/>
            </w:pPr>
            <w:r>
              <w:rPr/>
              <w:t xml:space="preserve">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M </w:t>
            </w:r>
          </w:p>
        </w:tc>
      </w:tr>
      <w:tr>
        <w:trPr>
          <w:trHeight w:val="1275"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35" w:before="0" w:after="1"/>
              <w:ind w:left="360" w:right="0" w:hanging="360"/>
              <w:rPr/>
            </w:pPr>
            <w:r>
              <w:rPr/>
              <w:t xml:space="preserve">21. Challenge existing practice, identify and generate innovative proposals for property development in order to deliver corporate objectives and monitor and review the performance of all assets against appropriate benchmarks. </w:t>
            </w:r>
          </w:p>
          <w:p>
            <w:pPr>
              <w:pStyle w:val="Normal"/>
              <w:spacing w:lineRule="auto" w:line="256" w:before="0" w:after="0"/>
              <w:ind w:left="720" w:right="0" w:hanging="0"/>
              <w:rPr/>
            </w:pPr>
            <w:r>
              <w:rPr/>
              <w:t xml:space="preserve">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M </w:t>
            </w:r>
          </w:p>
        </w:tc>
      </w:tr>
      <w:tr>
        <w:trPr>
          <w:trHeight w:val="1022"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35" w:before="0" w:after="1"/>
              <w:ind w:left="360" w:right="0" w:hanging="360"/>
              <w:rPr/>
            </w:pPr>
            <w:r>
              <w:rPr/>
              <w:t xml:space="preserve">22. Provide expert advice on property development and general property advice to the wider Property Services team and the Environment &amp; Communities department. </w:t>
            </w:r>
          </w:p>
          <w:p>
            <w:pPr>
              <w:pStyle w:val="Normal"/>
              <w:spacing w:lineRule="auto" w:line="256" w:before="0" w:after="0"/>
              <w:ind w:left="720" w:right="0" w:hanging="0"/>
              <w:rPr/>
            </w:pPr>
            <w:r>
              <w:rPr/>
              <w:t xml:space="preserve">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M </w:t>
            </w:r>
          </w:p>
        </w:tc>
      </w:tr>
      <w:tr>
        <w:trPr>
          <w:trHeight w:val="516"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56" w:before="0" w:after="0"/>
              <w:ind w:left="0" w:right="0" w:hanging="0"/>
              <w:rPr/>
            </w:pPr>
            <w:r>
              <w:rPr/>
              <w:t xml:space="preserve">23. Any other duties reasonably requested by management. </w:t>
            </w:r>
          </w:p>
          <w:p>
            <w:pPr>
              <w:pStyle w:val="Normal"/>
              <w:spacing w:lineRule="auto" w:line="256" w:before="0" w:after="0"/>
              <w:ind w:left="360" w:right="0" w:hanging="0"/>
              <w:rPr/>
            </w:pPr>
            <w:r>
              <w:rPr/>
              <w:t xml:space="preserve">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L </w:t>
            </w:r>
          </w:p>
        </w:tc>
      </w:tr>
      <w:tr>
        <w:trPr>
          <w:trHeight w:val="768"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40" w:before="0" w:after="0"/>
              <w:ind w:left="360" w:right="0" w:hanging="360"/>
              <w:rPr/>
            </w:pPr>
            <w:r>
              <w:rPr/>
              <w:t xml:space="preserve">24. Carry out all accountabilities in compliance with the Council’s Policies and Procedures.  </w:t>
            </w:r>
          </w:p>
          <w:p>
            <w:pPr>
              <w:pStyle w:val="Normal"/>
              <w:spacing w:lineRule="auto" w:line="256" w:before="0" w:after="0"/>
              <w:ind w:left="360" w:right="0" w:hanging="0"/>
              <w:rPr/>
            </w:pPr>
            <w:r>
              <w:rPr/>
              <w:t xml:space="preserve">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L </w:t>
            </w:r>
          </w:p>
        </w:tc>
      </w:tr>
      <w:tr>
        <w:trPr>
          <w:trHeight w:val="264" w:hRule="atLeast"/>
        </w:trPr>
        <w:tc>
          <w:tcPr>
            <w:tcW w:w="7499" w:type="dxa"/>
            <w:tcBorders>
              <w:top w:val="single" w:sz="4" w:space="0" w:color="C0C0C0"/>
              <w:left w:val="single" w:sz="4" w:space="0" w:color="C0C0C0"/>
              <w:bottom w:val="single" w:sz="4" w:space="0" w:color="C0C0C0"/>
            </w:tcBorders>
            <w:shd w:fill="auto" w:val="clear"/>
          </w:tcPr>
          <w:p>
            <w:pPr>
              <w:pStyle w:val="Normal"/>
              <w:spacing w:lineRule="auto" w:line="256" w:before="0" w:after="0"/>
              <w:ind w:left="0" w:right="0" w:hanging="0"/>
              <w:rPr/>
            </w:pPr>
            <w:r>
              <w:rPr/>
              <w:t xml:space="preserve">25. Deputise for the Director of Property as necessary </w:t>
            </w:r>
          </w:p>
        </w:tc>
        <w:tc>
          <w:tcPr>
            <w:tcW w:w="1423" w:type="dxa"/>
            <w:tcBorders>
              <w:top w:val="single" w:sz="4" w:space="0" w:color="C0C0C0"/>
              <w:left w:val="single" w:sz="4" w:space="0" w:color="C0C0C0"/>
              <w:bottom w:val="single" w:sz="4" w:space="0" w:color="C0C0C0"/>
              <w:right w:val="single" w:sz="4" w:space="0" w:color="C0C0C0"/>
            </w:tcBorders>
            <w:shd w:fill="auto" w:val="clear"/>
          </w:tcPr>
          <w:p>
            <w:pPr>
              <w:pStyle w:val="Normal"/>
              <w:spacing w:lineRule="auto" w:line="256" w:before="0" w:after="0"/>
              <w:ind w:left="0" w:right="0" w:hanging="0"/>
              <w:rPr/>
            </w:pPr>
            <w:r>
              <w:rPr/>
              <w:t xml:space="preserve">L </w:t>
            </w:r>
          </w:p>
        </w:tc>
      </w:tr>
    </w:tbl>
    <w:p>
      <w:pPr>
        <w:pStyle w:val="Normal"/>
        <w:spacing w:lineRule="auto" w:line="256" w:before="0" w:after="0"/>
        <w:ind w:left="284" w:right="0" w:hanging="0"/>
        <w:rPr/>
      </w:pPr>
      <w:r>
        <w:rPr/>
        <w:t xml:space="preserve"> </w:t>
      </w:r>
    </w:p>
    <w:p>
      <w:pPr>
        <w:pStyle w:val="Normal"/>
        <w:pBdr>
          <w:top w:val="single" w:sz="4" w:space="0" w:color="000000"/>
          <w:left w:val="single" w:sz="4" w:space="0" w:color="000000"/>
          <w:bottom w:val="single" w:sz="4" w:space="0" w:color="000000"/>
          <w:right w:val="single" w:sz="4" w:space="0" w:color="000000"/>
        </w:pBdr>
        <w:shd w:fill="CCCCCC" w:val="clear"/>
        <w:spacing w:lineRule="auto" w:line="256" w:before="0" w:after="0"/>
        <w:ind w:left="10" w:right="5509" w:hanging="10"/>
        <w:jc w:val="right"/>
        <w:rPr>
          <w:b/>
          <w:b/>
          <w:color w:val="800080"/>
        </w:rPr>
      </w:pPr>
      <w:r>
        <w:rPr>
          <w:b/>
          <w:color w:val="800080"/>
        </w:rPr>
        <w:t xml:space="preserve">Key Relationships (Internal and External): </w:t>
      </w:r>
    </w:p>
    <w:p>
      <w:pPr>
        <w:pStyle w:val="Normal"/>
        <w:spacing w:lineRule="auto" w:line="256" w:before="0" w:after="0"/>
        <w:ind w:left="284" w:right="0" w:hanging="0"/>
        <w:rPr/>
      </w:pPr>
      <w:r>
        <w:rPr/>
        <w:t xml:space="preserve"> </w:t>
      </w:r>
    </w:p>
    <w:p>
      <w:pPr>
        <w:pStyle w:val="Normal"/>
        <w:ind w:left="279" w:right="1072" w:hanging="10"/>
        <w:rPr/>
      </w:pPr>
      <w:r>
        <w:rPr/>
        <w:t xml:space="preserve">Internal:  </w:t>
      </w:r>
    </w:p>
    <w:p>
      <w:pPr>
        <w:pStyle w:val="Normal"/>
        <w:spacing w:lineRule="auto" w:line="256" w:before="0" w:after="0"/>
        <w:ind w:left="284" w:right="0" w:hanging="0"/>
        <w:rPr/>
      </w:pPr>
      <w:r>
        <w:rPr/>
        <w:t xml:space="preserve"> </w:t>
      </w:r>
    </w:p>
    <w:p>
      <w:pPr>
        <w:pStyle w:val="Normal"/>
        <w:ind w:left="279" w:right="1072" w:hanging="10"/>
        <w:rPr/>
      </w:pPr>
      <w:r>
        <w:rPr/>
        <w:t xml:space="preserve">Senior Management Team </w:t>
      </w:r>
    </w:p>
    <w:p>
      <w:pPr>
        <w:pStyle w:val="Normal"/>
        <w:ind w:left="279" w:right="1072" w:hanging="10"/>
        <w:rPr/>
      </w:pPr>
      <w:r>
        <w:rPr/>
        <w:t xml:space="preserve">Service Department leads and key officers </w:t>
      </w:r>
    </w:p>
    <w:p>
      <w:pPr>
        <w:pStyle w:val="Normal"/>
        <w:ind w:left="279" w:right="1072" w:hanging="10"/>
        <w:rPr/>
      </w:pPr>
      <w:r>
        <w:rPr/>
        <w:t xml:space="preserve">Wider Property Services and FM team  </w:t>
      </w:r>
    </w:p>
    <w:p>
      <w:pPr>
        <w:pStyle w:val="Normal"/>
        <w:ind w:left="279" w:right="1072" w:hanging="10"/>
        <w:rPr/>
      </w:pPr>
      <w:r>
        <w:rPr/>
        <w:t xml:space="preserve">Right Sizing management team </w:t>
      </w:r>
    </w:p>
    <w:p>
      <w:pPr>
        <w:pStyle w:val="Normal"/>
        <w:ind w:left="279" w:right="1072" w:hanging="10"/>
        <w:rPr/>
      </w:pPr>
      <w:r>
        <w:rPr/>
        <w:t xml:space="preserve">Legal and Finance departments </w:t>
      </w:r>
    </w:p>
    <w:p>
      <w:pPr>
        <w:pStyle w:val="Normal"/>
        <w:ind w:left="279" w:right="1072" w:hanging="10"/>
        <w:rPr/>
      </w:pPr>
      <w:r>
        <w:rPr/>
        <w:t xml:space="preserve">Council Leader and Councillors </w:t>
      </w:r>
    </w:p>
    <w:p>
      <w:pPr>
        <w:pStyle w:val="Normal"/>
        <w:spacing w:lineRule="auto" w:line="256" w:before="0" w:after="0"/>
        <w:ind w:left="284" w:right="0" w:hanging="0"/>
        <w:rPr/>
      </w:pPr>
      <w:r>
        <w:rPr/>
        <w:t xml:space="preserve"> </w:t>
      </w:r>
    </w:p>
    <w:p>
      <w:pPr>
        <w:pStyle w:val="Normal"/>
        <w:ind w:left="279" w:right="1072" w:hanging="10"/>
        <w:rPr/>
      </w:pPr>
      <w:r>
        <w:rPr/>
        <w:t xml:space="preserve">External: </w:t>
      </w:r>
    </w:p>
    <w:p>
      <w:pPr>
        <w:pStyle w:val="Normal"/>
        <w:spacing w:lineRule="auto" w:line="256" w:before="0" w:after="0"/>
        <w:ind w:left="284" w:right="0" w:hanging="0"/>
        <w:rPr/>
      </w:pPr>
      <w:r>
        <w:rPr/>
        <w:t xml:space="preserve"> </w:t>
      </w:r>
    </w:p>
    <w:p>
      <w:pPr>
        <w:pStyle w:val="Normal"/>
        <w:ind w:left="279" w:right="1072" w:hanging="10"/>
        <w:rPr/>
      </w:pPr>
      <w:r>
        <w:rPr/>
        <w:t xml:space="preserve">Public agencies in general, the public, businesses and consultants. </w:t>
      </w:r>
    </w:p>
    <w:p>
      <w:pPr>
        <w:pStyle w:val="Normal"/>
        <w:spacing w:lineRule="auto" w:line="256" w:before="0" w:after="0"/>
        <w:ind w:left="284" w:right="0" w:hanging="0"/>
        <w:rPr/>
      </w:pPr>
      <w:r>
        <w:rPr/>
        <w:t xml:space="preserve"> </w:t>
      </w:r>
    </w:p>
    <w:p>
      <w:pPr>
        <w:pStyle w:val="Normal"/>
        <w:pBdr>
          <w:top w:val="single" w:sz="4" w:space="0" w:color="000000"/>
          <w:left w:val="single" w:sz="4" w:space="0" w:color="000000"/>
          <w:bottom w:val="single" w:sz="4" w:space="0" w:color="000000"/>
          <w:right w:val="single" w:sz="4" w:space="0" w:color="000000"/>
        </w:pBdr>
        <w:shd w:fill="CCCCCC" w:val="clear"/>
        <w:spacing w:before="0" w:after="6"/>
        <w:ind w:left="499" w:right="918" w:hanging="10"/>
        <w:rPr>
          <w:b/>
          <w:b/>
          <w:color w:val="800080"/>
        </w:rPr>
      </w:pPr>
      <w:r>
        <w:rPr>
          <w:b/>
          <w:color w:val="800080"/>
        </w:rPr>
        <w:t xml:space="preserve">Equality and Diversity: </w:t>
      </w:r>
    </w:p>
    <w:p>
      <w:pPr>
        <w:pStyle w:val="Normal"/>
        <w:spacing w:lineRule="auto" w:line="256" w:before="0" w:after="0"/>
        <w:ind w:left="284" w:right="0" w:hanging="0"/>
        <w:rPr/>
      </w:pPr>
      <w:r>
        <w:rPr/>
        <w:t xml:space="preserve"> </w:t>
      </w:r>
    </w:p>
    <w:p>
      <w:pPr>
        <w:pStyle w:val="Normal"/>
        <w:ind w:left="279" w:right="1072" w:hanging="10"/>
        <w:rPr/>
      </w:pPr>
      <w:r>
        <w:rPr/>
        <w:t xml:space="preserve">The Council has a strong commitment to achieving equality in its service to the community and the employment of people and expects all employees to understand, comply with and promote its policies in their own work. </w:t>
      </w:r>
    </w:p>
    <w:p>
      <w:pPr>
        <w:pStyle w:val="Normal"/>
        <w:spacing w:lineRule="auto" w:line="256" w:before="0" w:after="0"/>
        <w:ind w:left="284" w:right="0" w:hanging="0"/>
        <w:rPr/>
      </w:pPr>
      <w:r>
        <w:rPr/>
        <w:t xml:space="preserve"> </w:t>
      </w:r>
    </w:p>
    <w:p>
      <w:pPr>
        <w:pStyle w:val="Normal"/>
        <w:spacing w:lineRule="auto" w:line="256" w:before="0" w:after="0"/>
        <w:ind w:left="284" w:right="0" w:hanging="0"/>
        <w:rPr/>
      </w:pPr>
      <w:r>
        <w:rPr/>
        <w:t xml:space="preserve"> </w:t>
      </w:r>
    </w:p>
    <w:p>
      <w:pPr>
        <w:pStyle w:val="Normal"/>
        <w:pBdr>
          <w:top w:val="single" w:sz="4" w:space="0" w:color="000000"/>
          <w:left w:val="single" w:sz="4" w:space="0" w:color="000000"/>
          <w:bottom w:val="single" w:sz="4" w:space="0" w:color="000000"/>
          <w:right w:val="single" w:sz="4" w:space="0" w:color="000000"/>
        </w:pBdr>
        <w:shd w:fill="CCCCCC" w:val="clear"/>
        <w:spacing w:before="0" w:after="6"/>
        <w:ind w:left="499" w:right="918" w:hanging="10"/>
        <w:rPr>
          <w:b/>
          <w:b/>
          <w:color w:val="800080"/>
        </w:rPr>
      </w:pPr>
      <w:r>
        <w:rPr>
          <w:b/>
          <w:color w:val="800080"/>
        </w:rPr>
        <w:t xml:space="preserve">Health and Safety: </w:t>
      </w:r>
    </w:p>
    <w:p>
      <w:pPr>
        <w:pStyle w:val="Normal"/>
        <w:spacing w:lineRule="auto" w:line="256" w:before="0" w:after="0"/>
        <w:ind w:left="284" w:right="0" w:hanging="0"/>
        <w:rPr/>
      </w:pPr>
      <w:r>
        <w:rPr/>
        <w:t xml:space="preserve"> </w:t>
      </w:r>
    </w:p>
    <w:p>
      <w:pPr>
        <w:pStyle w:val="Normal"/>
        <w:ind w:left="279" w:right="1072" w:hanging="10"/>
        <w:rPr/>
      </w:pPr>
      <w:r>
        <w:rPr/>
        <w:t xml:space="preserve">The post holder shall ensure that the duties of the post are undertaken with due regard to the Council’s Health and Safety Policy and to their personal responsibilities under the provisions of the Health and Safety at work Act 1974 and all other relevant subordinate legislation. </w:t>
      </w:r>
    </w:p>
    <w:p>
      <w:pPr>
        <w:pStyle w:val="Normal"/>
        <w:spacing w:lineRule="auto" w:line="256" w:before="0" w:after="0"/>
        <w:ind w:left="284" w:right="0" w:hanging="0"/>
        <w:rPr/>
      </w:pPr>
      <w:r>
        <w:rPr/>
        <w:t xml:space="preserve"> </w:t>
      </w:r>
    </w:p>
    <w:p>
      <w:pPr>
        <w:pStyle w:val="Normal"/>
        <w:ind w:left="279" w:right="1072" w:hanging="10"/>
        <w:rPr/>
      </w:pPr>
      <w:r>
        <w:rPr/>
        <w:t>For a more detailed definition of these responsibilities, refer to the current versions of the Corporate Health</w:t>
      </w:r>
      <w:r>
        <w:rPr>
          <w:b/>
        </w:rPr>
        <w:t xml:space="preserve"> </w:t>
      </w:r>
      <w:r>
        <w:rPr/>
        <w:t xml:space="preserve">&amp; Safety Policy, Group Safety Policy and employee information leaflet entitled "Health &amp; Safety Policy; Guidance on Staff Health &amp; Safety Responsibilities". </w:t>
      </w:r>
    </w:p>
    <w:p>
      <w:pPr>
        <w:pStyle w:val="Normal"/>
        <w:spacing w:lineRule="auto" w:line="256" w:before="0" w:after="0"/>
        <w:ind w:left="284" w:right="0" w:hanging="0"/>
        <w:rPr/>
      </w:pPr>
      <w:r>
        <w:rPr/>
        <w:t xml:space="preserve"> </w:t>
      </w:r>
    </w:p>
    <w:p>
      <w:pPr>
        <w:pStyle w:val="Normal"/>
        <w:spacing w:lineRule="auto" w:line="256" w:before="0" w:after="0"/>
        <w:ind w:left="284" w:right="0" w:hanging="0"/>
        <w:rPr>
          <w:b/>
          <w:b/>
          <w:color w:val="800080"/>
        </w:rPr>
      </w:pPr>
      <w:r>
        <w:rPr>
          <w:b/>
          <w:color w:val="800080"/>
        </w:rPr>
        <w:t xml:space="preserve">Corporate Health and Safety Responsibilities </w:t>
      </w:r>
    </w:p>
    <w:p>
      <w:pPr>
        <w:pStyle w:val="Normal"/>
        <w:ind w:left="279" w:right="1072" w:hanging="10"/>
        <w:rPr/>
      </w:pPr>
      <w:r>
        <w:rPr/>
        <w:t xml:space="preserve">All employees have personal responsibilities to take reasonable care for the health and safety of themselves and others.  This means: </w:t>
      </w:r>
    </w:p>
    <w:p>
      <w:pPr>
        <w:pStyle w:val="Normal"/>
        <w:spacing w:lineRule="auto" w:line="256" w:before="0" w:after="0"/>
        <w:ind w:left="284" w:right="0" w:hanging="0"/>
        <w:rPr/>
      </w:pPr>
      <w:r>
        <w:rPr/>
        <w:t xml:space="preserve"> </w:t>
      </w:r>
    </w:p>
    <w:p>
      <w:pPr>
        <w:pStyle w:val="Normal"/>
        <w:numPr>
          <w:ilvl w:val="0"/>
          <w:numId w:val="3"/>
        </w:numPr>
        <w:ind w:left="989" w:right="1072" w:hanging="720"/>
        <w:rPr/>
      </w:pPr>
      <w:r>
        <w:rPr/>
        <w:t xml:space="preserve">Understanding the hazards in the work they undertake; </w:t>
      </w:r>
    </w:p>
    <w:p>
      <w:pPr>
        <w:pStyle w:val="Normal"/>
        <w:numPr>
          <w:ilvl w:val="0"/>
          <w:numId w:val="3"/>
        </w:numPr>
        <w:ind w:left="989" w:right="1072" w:hanging="720"/>
        <w:rPr/>
      </w:pPr>
      <w:r>
        <w:rPr/>
        <w:t xml:space="preserve">Following safety rules and procedures; </w:t>
      </w:r>
    </w:p>
    <w:p>
      <w:pPr>
        <w:pStyle w:val="Normal"/>
        <w:numPr>
          <w:ilvl w:val="0"/>
          <w:numId w:val="3"/>
        </w:numPr>
        <w:ind w:left="989" w:right="1072" w:hanging="720"/>
        <w:rPr/>
      </w:pPr>
      <w:r>
        <w:rPr/>
        <w:t xml:space="preserve">Using work equipment, personal protective equipment, substances, and safety devices correctly; and </w:t>
      </w:r>
    </w:p>
    <w:p>
      <w:pPr>
        <w:pStyle w:val="Normal"/>
        <w:numPr>
          <w:ilvl w:val="0"/>
          <w:numId w:val="3"/>
        </w:numPr>
        <w:ind w:left="989" w:right="1072" w:hanging="720"/>
        <w:rPr/>
      </w:pPr>
      <w:r>
        <w:rPr/>
        <w:t xml:space="preserve">Working in accordance with the training provided and only undertaking tasks where appropriate training has been received.  </w:t>
      </w:r>
    </w:p>
    <w:p>
      <w:pPr>
        <w:pStyle w:val="Normal"/>
        <w:spacing w:lineRule="auto" w:line="256" w:before="0" w:after="0"/>
        <w:ind w:left="284" w:right="0" w:hanging="0"/>
        <w:rPr/>
      </w:pPr>
      <w:r>
        <w:rPr/>
        <w:t xml:space="preserve"> </w:t>
      </w:r>
    </w:p>
    <w:p>
      <w:pPr>
        <w:pStyle w:val="Normal"/>
        <w:ind w:left="279" w:right="1072" w:hanging="10"/>
        <w:rPr/>
      </w:pPr>
      <w:r>
        <w:rPr/>
        <w:t xml:space="preserve">Employees shall co-operate with the Council by allowing it to comply with its duties towards them.  This requires employees to: </w:t>
      </w:r>
    </w:p>
    <w:p>
      <w:pPr>
        <w:pStyle w:val="Normal"/>
        <w:spacing w:lineRule="auto" w:line="256" w:before="0" w:after="0"/>
        <w:ind w:left="284" w:right="0" w:hanging="0"/>
        <w:rPr/>
      </w:pPr>
      <w:r>
        <w:rPr/>
        <w:t xml:space="preserve"> </w:t>
      </w:r>
    </w:p>
    <w:p>
      <w:pPr>
        <w:pStyle w:val="Normal"/>
        <w:numPr>
          <w:ilvl w:val="1"/>
          <w:numId w:val="3"/>
        </w:numPr>
        <w:spacing w:before="0" w:after="27"/>
        <w:ind w:left="1004" w:right="1072" w:hanging="360"/>
        <w:rPr/>
      </w:pPr>
      <w:r>
        <w:rPr/>
        <w:t xml:space="preserve">take part in safety training and risk assessments and suggest ways of reducing risks; and </w:t>
      </w:r>
    </w:p>
    <w:p>
      <w:pPr>
        <w:pStyle w:val="Normal"/>
        <w:numPr>
          <w:ilvl w:val="1"/>
          <w:numId w:val="3"/>
        </w:numPr>
        <w:ind w:left="1004" w:right="1072" w:hanging="360"/>
        <w:rPr/>
      </w:pPr>
      <w:r>
        <w:rPr/>
        <w:t xml:space="preserve">take part in emergency evacuation exercises. </w:t>
      </w:r>
    </w:p>
    <w:p>
      <w:pPr>
        <w:pStyle w:val="Normal"/>
        <w:spacing w:lineRule="auto" w:line="256" w:before="0" w:after="0"/>
        <w:ind w:left="284" w:right="0" w:hanging="0"/>
        <w:rPr/>
      </w:pPr>
      <w:r>
        <w:rPr/>
        <w:t xml:space="preserve"> </w:t>
      </w:r>
    </w:p>
    <w:p>
      <w:pPr>
        <w:pStyle w:val="Normal"/>
        <w:spacing w:lineRule="auto" w:line="235" w:before="0" w:after="0"/>
        <w:ind w:left="284" w:right="892" w:hanging="0"/>
        <w:rPr/>
      </w:pPr>
      <w:r>
        <w:rPr/>
        <w:t xml:space="preserve">Employees shall report all accidents, ‘near miss’ incidents and work related ill health conditions to their manager/supervisor/team leader. </w:t>
      </w:r>
    </w:p>
    <w:p>
      <w:pPr>
        <w:pStyle w:val="Normal"/>
        <w:spacing w:lineRule="auto" w:line="256" w:before="0" w:after="0"/>
        <w:ind w:left="284" w:right="0" w:hanging="0"/>
        <w:rPr/>
      </w:pPr>
      <w:r>
        <w:rPr/>
        <w:t xml:space="preserve"> </w:t>
      </w:r>
    </w:p>
    <w:p>
      <w:pPr>
        <w:pStyle w:val="Normal"/>
        <w:ind w:left="279" w:right="1072" w:hanging="10"/>
        <w:rPr/>
      </w:pPr>
      <w:r>
        <w:rPr/>
        <w:t xml:space="preserve">Employees shall read the Corporate Health &amp; Safety – Organisation Part B Policy to ascertain and understand their responsibilities as an employee, line manager, Assistant Director or Director of the Council. </w:t>
      </w:r>
    </w:p>
    <w:p>
      <w:pPr>
        <w:pStyle w:val="Normal"/>
        <w:spacing w:lineRule="auto" w:line="256" w:before="0" w:after="0"/>
        <w:ind w:left="284" w:right="0" w:hanging="0"/>
        <w:rPr>
          <w:b/>
          <w:b/>
          <w:sz w:val="24"/>
        </w:rPr>
      </w:pPr>
      <w:r>
        <w:rPr>
          <w:b/>
          <w:sz w:val="24"/>
        </w:rPr>
        <w:t xml:space="preserve"> </w:t>
      </w:r>
    </w:p>
    <w:p>
      <w:pPr>
        <w:pStyle w:val="Normal"/>
        <w:pBdr>
          <w:top w:val="single" w:sz="4" w:space="0" w:color="000000"/>
          <w:left w:val="single" w:sz="4" w:space="0" w:color="000000"/>
          <w:bottom w:val="single" w:sz="4" w:space="0" w:color="000000"/>
          <w:right w:val="single" w:sz="4" w:space="0" w:color="000000"/>
        </w:pBdr>
        <w:shd w:fill="CCCCCC" w:val="clear"/>
        <w:spacing w:before="0" w:after="6"/>
        <w:ind w:left="499" w:right="918" w:hanging="10"/>
        <w:rPr>
          <w:b/>
          <w:b/>
          <w:color w:val="800080"/>
        </w:rPr>
      </w:pPr>
      <w:r>
        <w:rPr>
          <w:b/>
          <w:color w:val="800080"/>
        </w:rPr>
        <w:t xml:space="preserve">Information Security: </w:t>
      </w:r>
    </w:p>
    <w:p>
      <w:pPr>
        <w:pStyle w:val="Normal"/>
        <w:spacing w:lineRule="auto" w:line="256" w:before="0" w:after="0"/>
        <w:ind w:left="284" w:right="0" w:hanging="0"/>
        <w:rPr>
          <w:b/>
          <w:b/>
          <w:sz w:val="24"/>
        </w:rPr>
      </w:pPr>
      <w:r>
        <w:rPr>
          <w:b/>
          <w:sz w:val="24"/>
        </w:rPr>
        <w:t xml:space="preserve"> </w:t>
      </w:r>
    </w:p>
    <w:p>
      <w:pPr>
        <w:pStyle w:val="Normal"/>
        <w:ind w:left="279" w:right="1072" w:hanging="10"/>
        <w:rPr/>
      </w:pPr>
      <w:r>
        <w:rPr/>
        <w:t xml:space="preserve">In order to protect the confidentiality, integrity and availability of Council information, including information provided by customers, partner organisations, and other third parties, where applicable, employees will comply with the Council’s Information Security Policy. </w:t>
      </w:r>
    </w:p>
    <w:p>
      <w:pPr>
        <w:pStyle w:val="Normal"/>
        <w:spacing w:lineRule="auto" w:line="256" w:before="0" w:after="0"/>
        <w:ind w:left="284" w:right="0" w:hanging="0"/>
        <w:rPr/>
      </w:pPr>
      <w:r>
        <w:rPr/>
        <w:t xml:space="preserve"> </w:t>
      </w:r>
    </w:p>
    <w:p>
      <w:pPr>
        <w:pStyle w:val="Normal"/>
        <w:spacing w:lineRule="auto" w:line="256" w:before="0" w:after="0"/>
        <w:ind w:left="284" w:right="0" w:hanging="0"/>
        <w:rPr/>
      </w:pPr>
      <w:r>
        <w:rPr/>
        <w:t xml:space="preserve"> </w:t>
      </w:r>
    </w:p>
    <w:p>
      <w:pPr>
        <w:pStyle w:val="Normal"/>
        <w:pBdr>
          <w:top w:val="single" w:sz="4" w:space="0" w:color="000000"/>
          <w:left w:val="single" w:sz="4" w:space="0" w:color="000000"/>
          <w:bottom w:val="single" w:sz="4" w:space="0" w:color="000000"/>
          <w:right w:val="single" w:sz="4" w:space="0" w:color="000000"/>
        </w:pBdr>
        <w:shd w:fill="CCCCCC" w:val="clear"/>
        <w:spacing w:before="0" w:after="6"/>
        <w:ind w:left="499" w:right="918" w:hanging="10"/>
        <w:rPr>
          <w:b/>
          <w:b/>
          <w:color w:val="800080"/>
        </w:rPr>
      </w:pPr>
      <w:r>
        <w:rPr>
          <w:b/>
          <w:color w:val="800080"/>
        </w:rPr>
        <w:t xml:space="preserve">Statement of Commitment to Safeguarding of Children and Vulnerable Adults through safer employment practice: </w:t>
      </w:r>
    </w:p>
    <w:p>
      <w:pPr>
        <w:pStyle w:val="Normal"/>
        <w:spacing w:lineRule="auto" w:line="256" w:before="0" w:after="0"/>
        <w:ind w:left="284" w:right="0" w:hanging="0"/>
        <w:rPr/>
      </w:pPr>
      <w:r>
        <w:rPr/>
        <w:t xml:space="preserve"> </w:t>
      </w:r>
    </w:p>
    <w:p>
      <w:pPr>
        <w:pStyle w:val="Normal"/>
        <w:ind w:left="279" w:right="1072" w:hanging="10"/>
        <w:rPr/>
      </w:pPr>
      <w:r>
        <w:rPr/>
        <w:t xml:space="preserve">Enfield Council is committed to safeguarding and promoting the welfare of children and vulnerable adults. Safe recruitment of staff is central to this commitment, and the Council will ensure that its recruitment policies and practices are robust, and that selection procedures prevent unsuitable people from gaining access to children, young people and vulnerable adults.  All staff employed to work with or on behalf of children and young people in the Council must be competent. </w:t>
      </w:r>
    </w:p>
    <w:p>
      <w:pPr>
        <w:pStyle w:val="Normal"/>
        <w:spacing w:lineRule="auto" w:line="256" w:before="0" w:after="0"/>
        <w:ind w:left="284" w:right="0" w:hanging="0"/>
        <w:rPr/>
      </w:pPr>
      <w:r>
        <w:rPr/>
        <w:t xml:space="preserve"> </w:t>
      </w:r>
    </w:p>
    <w:p>
      <w:pPr>
        <w:pStyle w:val="Normal"/>
        <w:ind w:left="279" w:right="1072" w:hanging="10"/>
        <w:rPr/>
      </w:pPr>
      <w:r>
        <w:rPr/>
        <w:t xml:space="preserve">All staff working with Children &amp; Vulnerable Adults should be aware of, and share the commitment to safeguarding and promoting the welfare of children, young people and vulnerable adults when applying for posts at Enfield Council.  </w:t>
      </w:r>
    </w:p>
    <w:p>
      <w:pPr>
        <w:pStyle w:val="Normal"/>
        <w:spacing w:lineRule="auto" w:line="256" w:before="0" w:after="0"/>
        <w:ind w:left="284" w:right="0" w:hanging="0"/>
        <w:rPr/>
      </w:pPr>
      <w:r>
        <w:rPr/>
        <w:t xml:space="preserve"> </w:t>
      </w:r>
    </w:p>
    <w:p>
      <w:pPr>
        <w:pStyle w:val="Normal"/>
        <w:spacing w:lineRule="auto" w:line="256" w:before="0" w:after="0"/>
        <w:ind w:left="284" w:right="0" w:hanging="0"/>
        <w:rPr/>
      </w:pPr>
      <w:r>
        <w:rPr/>
        <w:t xml:space="preserve"> </w:t>
      </w:r>
    </w:p>
    <w:p>
      <w:pPr>
        <w:pStyle w:val="Normal"/>
        <w:spacing w:lineRule="auto" w:line="256" w:before="0" w:after="0"/>
        <w:ind w:left="284" w:right="0" w:hanging="0"/>
        <w:rPr/>
      </w:pPr>
      <w:r>
        <w:rPr/>
        <w:t xml:space="preserve"> </w:t>
      </w:r>
    </w:p>
    <w:p>
      <w:pPr>
        <w:pStyle w:val="Normal"/>
        <w:spacing w:lineRule="auto" w:line="256" w:before="0" w:after="0"/>
        <w:ind w:left="284" w:right="0" w:hanging="0"/>
        <w:rPr/>
      </w:pPr>
      <w:r>
        <w:rPr/>
        <w:t xml:space="preserve"> </w:t>
      </w:r>
    </w:p>
    <w:p>
      <w:pPr>
        <w:pStyle w:val="Normal"/>
        <w:spacing w:lineRule="auto" w:line="256" w:before="0" w:after="0"/>
        <w:ind w:left="284" w:right="0" w:hanging="0"/>
        <w:rPr/>
      </w:pPr>
      <w:r>
        <w:rPr/>
        <w:t xml:space="preserve"> </w:t>
      </w:r>
    </w:p>
    <w:p>
      <w:pPr>
        <w:sectPr>
          <w:headerReference w:type="default" r:id="rId3"/>
          <w:footerReference w:type="default" r:id="rId4"/>
          <w:type w:val="nextPage"/>
          <w:pgSz w:w="11906" w:h="16838"/>
          <w:pgMar w:left="1157" w:right="356" w:header="431" w:top="1848" w:footer="428" w:bottom="1444" w:gutter="0"/>
          <w:pgNumType w:fmt="decimal"/>
          <w:formProt w:val="false"/>
          <w:textDirection w:val="lrTb"/>
          <w:docGrid w:type="default" w:linePitch="100" w:charSpace="0"/>
        </w:sectPr>
        <w:pStyle w:val="Normal"/>
        <w:spacing w:lineRule="auto" w:line="256" w:before="0" w:after="0"/>
        <w:ind w:left="284" w:right="0" w:hanging="0"/>
        <w:rPr/>
      </w:pPr>
      <w:r>
        <w:rPr/>
        <w:t xml:space="preserve"> </w:t>
      </w:r>
    </w:p>
    <w:p>
      <w:pPr>
        <w:pStyle w:val="Normal"/>
        <w:spacing w:lineRule="auto" w:line="256" w:before="0" w:after="0"/>
        <w:ind w:left="0" w:right="0" w:hanging="0"/>
        <w:rPr/>
      </w:pPr>
      <w:r>
        <w:rPr/>
        <w:drawing>
          <wp:anchor behindDoc="1" distT="0" distB="0" distL="114300" distR="114300" simplePos="0" locked="0" layoutInCell="1" allowOverlap="1" relativeHeight="13">
            <wp:simplePos x="0" y="0"/>
            <wp:positionH relativeFrom="page">
              <wp:posOffset>914400</wp:posOffset>
            </wp:positionH>
            <wp:positionV relativeFrom="page">
              <wp:posOffset>273685</wp:posOffset>
            </wp:positionV>
            <wp:extent cx="1002665" cy="501015"/>
            <wp:effectExtent l="0" t="0" r="0" b="0"/>
            <wp:wrapSquare wrapText="bothSides"/>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5"/>
                    <a:srcRect l="-17" t="-35" r="-17" b="-35"/>
                    <a:stretch>
                      <a:fillRect/>
                    </a:stretch>
                  </pic:blipFill>
                  <pic:spPr bwMode="auto">
                    <a:xfrm>
                      <a:off x="0" y="0"/>
                      <a:ext cx="1002665" cy="501015"/>
                    </a:xfrm>
                    <a:prstGeom prst="rect">
                      <a:avLst/>
                    </a:prstGeom>
                  </pic:spPr>
                </pic:pic>
              </a:graphicData>
            </a:graphic>
          </wp:anchor>
        </w:drawing>
      </w:r>
    </w:p>
    <w:p>
      <w:pPr>
        <w:pStyle w:val="Heading1"/>
        <w:shd w:fill="CCCCCC" w:val="clear"/>
        <w:ind w:left="2185" w:right="0" w:hanging="0"/>
        <w:rPr/>
      </w:pPr>
      <w:r>
        <w:rPr/>
        <w:t xml:space="preserve">PERSON SPECIFICATION </w:t>
      </w:r>
    </w:p>
    <w:p>
      <w:pPr>
        <w:pStyle w:val="Normal"/>
        <w:spacing w:lineRule="auto" w:line="256" w:before="0" w:after="0"/>
        <w:ind w:left="-22" w:right="0" w:hanging="0"/>
        <w:rPr>
          <w:b/>
          <w:b/>
          <w:color w:val="7030A0"/>
        </w:rPr>
      </w:pPr>
      <w:r>
        <w:rPr>
          <w:b/>
          <w:color w:val="7030A0"/>
        </w:rPr>
        <w:t xml:space="preserve"> </w:t>
      </w:r>
    </w:p>
    <w:p>
      <w:pPr>
        <w:pStyle w:val="Normal"/>
        <w:rPr>
          <w:rFonts w:ascii="Times New Roman" w:hAnsi="Times New Roman" w:eastAsia="Times New Roman" w:cs="Times New Roman"/>
          <w:sz w:val="24"/>
        </w:rPr>
      </w:pPr>
      <w:r>
        <w:rPr>
          <w:rFonts w:eastAsia="Times New Roman" w:cs="Times New Roman" w:ascii="Times New Roman" w:hAnsi="Times New Roman"/>
          <w:sz w:val="24"/>
        </w:rPr>
        <w:tab/>
      </w:r>
    </w:p>
    <w:p>
      <w:pPr>
        <w:pStyle w:val="Normal"/>
        <w:rPr/>
      </w:pPr>
      <w:r>
        <w:rPr>
          <w:rFonts w:eastAsia="Times New Roman" w:cs="Times New Roman" w:ascii="Times New Roman" w:hAnsi="Times New Roman"/>
          <w:sz w:val="24"/>
        </w:rPr>
        <w:t xml:space="preserve"> </w:t>
      </w:r>
      <w:r>
        <w:rPr>
          <w:b/>
          <w:color w:val="7030A0"/>
          <w:szCs w:val="22"/>
        </w:rPr>
        <w:t xml:space="preserve">Job Title: </w:t>
      </w:r>
      <w:r>
        <w:rPr>
          <w:b/>
          <w:color w:val="000000"/>
          <w:szCs w:val="22"/>
        </w:rPr>
        <w:t>Head of Estates</w:t>
      </w:r>
      <w:r>
        <w:rPr>
          <w:b/>
          <w:color w:val="7030A0"/>
          <w:szCs w:val="22"/>
        </w:rPr>
        <w:tab/>
        <w:tab/>
        <w:tab/>
        <w:t xml:space="preserve">          </w:t>
        <w:tab/>
        <w:tab/>
        <w:tab/>
        <w:t xml:space="preserve">               Grade: </w:t>
      </w:r>
      <w:r>
        <w:rPr>
          <w:b/>
          <w:color w:val="000000"/>
          <w:szCs w:val="22"/>
        </w:rPr>
        <w:t>HOS3</w:t>
      </w:r>
    </w:p>
    <w:p>
      <w:pPr>
        <w:pStyle w:val="Normal"/>
        <w:ind w:left="294" w:right="0" w:firstLine="851"/>
        <w:rPr>
          <w:b/>
          <w:b/>
          <w:color w:val="7030A0"/>
          <w:szCs w:val="22"/>
        </w:rPr>
      </w:pPr>
      <w:r>
        <w:rPr>
          <w:b/>
          <w:color w:val="7030A0"/>
          <w:szCs w:val="22"/>
        </w:rPr>
      </w:r>
    </w:p>
    <w:p>
      <w:pPr>
        <w:pStyle w:val="Normal"/>
        <w:rPr/>
      </w:pPr>
      <w:r>
        <w:rPr>
          <w:b/>
          <w:color w:val="7030A0"/>
          <w:szCs w:val="22"/>
        </w:rPr>
        <w:t xml:space="preserve">Department: </w:t>
      </w:r>
      <w:r>
        <w:rPr>
          <w:b/>
          <w:color w:val="000000"/>
          <w:szCs w:val="22"/>
        </w:rPr>
        <w:t>Environment &amp; Communities</w:t>
        <w:tab/>
      </w:r>
      <w:r>
        <w:rPr>
          <w:color w:val="7030A0"/>
          <w:szCs w:val="22"/>
        </w:rPr>
        <w:tab/>
        <w:tab/>
        <w:tab/>
        <w:t xml:space="preserve">           </w:t>
        <w:tab/>
        <w:t xml:space="preserve"> </w:t>
      </w:r>
      <w:r>
        <w:rPr>
          <w:b/>
          <w:color w:val="7030A0"/>
          <w:szCs w:val="22"/>
        </w:rPr>
        <w:t xml:space="preserve">Team: </w:t>
      </w:r>
      <w:r>
        <w:rPr>
          <w:b/>
          <w:color w:val="000000"/>
          <w:szCs w:val="22"/>
        </w:rPr>
        <w:t>Property Services</w:t>
      </w:r>
    </w:p>
    <w:p>
      <w:pPr>
        <w:pStyle w:val="Normal"/>
        <w:ind w:left="851" w:right="0" w:hanging="10"/>
        <w:rPr>
          <w:b/>
          <w:b/>
          <w:color w:val="7030A0"/>
          <w:sz w:val="20"/>
        </w:rPr>
      </w:pPr>
      <w:r>
        <w:rPr>
          <w:b/>
          <w:color w:val="7030A0"/>
          <w:sz w:val="20"/>
        </w:rPr>
      </w:r>
    </w:p>
    <w:tbl>
      <w:tblPr>
        <w:tblW w:w="14650" w:type="dxa"/>
        <w:jc w:val="left"/>
        <w:tblInd w:w="-192" w:type="dxa"/>
        <w:tblCellMar>
          <w:top w:w="0" w:type="dxa"/>
          <w:left w:w="107" w:type="dxa"/>
          <w:bottom w:w="0" w:type="dxa"/>
          <w:right w:w="107" w:type="dxa"/>
        </w:tblCellMar>
      </w:tblPr>
      <w:tblGrid>
        <w:gridCol w:w="12616"/>
        <w:gridCol w:w="2034"/>
      </w:tblGrid>
      <w:tr>
        <w:trPr>
          <w:trHeight w:val="1177" w:hRule="exact"/>
        </w:trPr>
        <w:tc>
          <w:tcPr>
            <w:tcW w:w="12616" w:type="dxa"/>
            <w:tcBorders>
              <w:top w:val="single" w:sz="12" w:space="0" w:color="000000"/>
              <w:left w:val="single" w:sz="12" w:space="0" w:color="000000"/>
              <w:bottom w:val="single" w:sz="6" w:space="0" w:color="000000"/>
            </w:tcBorders>
            <w:shd w:fill="auto" w:val="clear"/>
            <w:vAlign w:val="center"/>
          </w:tcPr>
          <w:p>
            <w:pPr>
              <w:pStyle w:val="Normal"/>
              <w:spacing w:before="140" w:after="140"/>
              <w:ind w:left="35" w:right="0" w:hanging="10"/>
              <w:rPr>
                <w:b/>
                <w:b/>
                <w:caps/>
                <w:color w:val="7030A0"/>
                <w:szCs w:val="22"/>
              </w:rPr>
            </w:pPr>
            <w:r>
              <w:rPr>
                <w:b/>
                <w:caps/>
                <w:color w:val="7030A0"/>
                <w:szCs w:val="22"/>
              </w:rPr>
              <w:t xml:space="preserve">KNOWLEDGE, SKILLS &amp; ABILITIES </w:t>
            </w:r>
          </w:p>
        </w:tc>
        <w:tc>
          <w:tcPr>
            <w:tcW w:w="2034" w:type="dxa"/>
            <w:tcBorders>
              <w:top w:val="single" w:sz="12" w:space="0" w:color="000000"/>
              <w:left w:val="single" w:sz="6" w:space="0" w:color="000000"/>
              <w:bottom w:val="single" w:sz="6" w:space="0" w:color="000000"/>
              <w:right w:val="single" w:sz="12" w:space="0" w:color="000000"/>
            </w:tcBorders>
            <w:shd w:fill="auto" w:val="clear"/>
          </w:tcPr>
          <w:p>
            <w:pPr>
              <w:pStyle w:val="Normal"/>
              <w:rPr>
                <w:b/>
                <w:b/>
                <w:caps/>
                <w:color w:val="7030A0"/>
                <w:szCs w:val="22"/>
              </w:rPr>
            </w:pPr>
            <w:r>
              <w:rPr>
                <w:b/>
                <w:caps/>
                <w:color w:val="7030A0"/>
                <w:szCs w:val="22"/>
              </w:rPr>
              <w:t>HOW TESTED</w:t>
            </w:r>
          </w:p>
          <w:p>
            <w:pPr>
              <w:pStyle w:val="Normal"/>
              <w:rPr>
                <w:szCs w:val="22"/>
              </w:rPr>
            </w:pPr>
            <w:r>
              <w:rPr>
                <w:szCs w:val="22"/>
              </w:rPr>
              <w:t>Application – A</w:t>
            </w:r>
          </w:p>
          <w:p>
            <w:pPr>
              <w:pStyle w:val="Normal"/>
              <w:rPr>
                <w:szCs w:val="22"/>
              </w:rPr>
            </w:pPr>
            <w:r>
              <w:rPr>
                <w:szCs w:val="22"/>
              </w:rPr>
              <w:t>Test – T</w:t>
            </w:r>
          </w:p>
          <w:p>
            <w:pPr>
              <w:pStyle w:val="Normal"/>
              <w:widowControl/>
              <w:bidi w:val="0"/>
              <w:spacing w:lineRule="auto" w:line="244" w:before="0" w:after="5"/>
              <w:jc w:val="left"/>
              <w:rPr/>
            </w:pPr>
            <w:r>
              <w:rPr>
                <w:szCs w:val="22"/>
              </w:rPr>
              <w:t>Interview – I</w:t>
            </w:r>
            <w:r>
              <w:rPr>
                <w:color w:val="7030A0"/>
                <w:szCs w:val="22"/>
              </w:rPr>
              <w:t xml:space="preserve"> </w:t>
            </w:r>
          </w:p>
        </w:tc>
      </w:tr>
      <w:tr>
        <w:trPr>
          <w:trHeight w:val="2083" w:hRule="atLeast"/>
        </w:trPr>
        <w:tc>
          <w:tcPr>
            <w:tcW w:w="12616" w:type="dxa"/>
            <w:tcBorders>
              <w:top w:val="single" w:sz="6" w:space="0" w:color="000000"/>
              <w:left w:val="single" w:sz="12" w:space="0" w:color="000000"/>
              <w:bottom w:val="single" w:sz="6" w:space="0" w:color="000000"/>
            </w:tcBorders>
            <w:shd w:fill="D9D9D9" w:val="clear"/>
            <w:vAlign w:val="center"/>
          </w:tcPr>
          <w:p>
            <w:pPr>
              <w:pStyle w:val="Normal"/>
              <w:snapToGrid w:val="false"/>
              <w:rPr>
                <w:b/>
                <w:b/>
                <w:bCs/>
                <w:color w:val="7030A0"/>
                <w:szCs w:val="22"/>
              </w:rPr>
            </w:pPr>
            <w:r>
              <w:rPr>
                <w:b/>
                <w:bCs/>
                <w:color w:val="7030A0"/>
                <w:szCs w:val="22"/>
              </w:rPr>
            </w:r>
          </w:p>
          <w:p>
            <w:pPr>
              <w:pStyle w:val="Normal"/>
              <w:rPr>
                <w:b/>
                <w:b/>
                <w:bCs/>
                <w:color w:val="7030A0"/>
                <w:szCs w:val="22"/>
              </w:rPr>
            </w:pPr>
            <w:r>
              <w:rPr>
                <w:b/>
                <w:bCs/>
                <w:color w:val="7030A0"/>
                <w:szCs w:val="22"/>
              </w:rPr>
              <w:t>Job Specifics – Skills, Experience, Knowledge, Behaviours</w:t>
            </w:r>
          </w:p>
          <w:p>
            <w:pPr>
              <w:pStyle w:val="Normal"/>
              <w:rPr/>
            </w:pPr>
            <w:r>
              <w:rPr/>
            </w:r>
          </w:p>
          <w:p>
            <w:pPr>
              <w:pStyle w:val="Normal"/>
              <w:rPr>
                <w:b/>
                <w:b/>
                <w:color w:val="7030A0"/>
                <w:szCs w:val="22"/>
              </w:rPr>
            </w:pPr>
            <w:r>
              <w:rPr>
                <w:b/>
                <w:color w:val="7030A0"/>
                <w:szCs w:val="22"/>
              </w:rPr>
              <w:t>Essential:</w:t>
            </w:r>
          </w:p>
          <w:p>
            <w:pPr>
              <w:pStyle w:val="NormalWeb"/>
              <w:numPr>
                <w:ilvl w:val="0"/>
                <w:numId w:val="6"/>
              </w:numPr>
              <w:spacing w:before="280" w:after="280"/>
              <w:rPr>
                <w:rFonts w:ascii="Arial" w:hAnsi="Arial" w:cs="Arial"/>
                <w:color w:val="000000"/>
                <w:sz w:val="22"/>
                <w:szCs w:val="22"/>
              </w:rPr>
            </w:pPr>
            <w:r>
              <w:rPr>
                <w:rFonts w:cs="Arial" w:ascii="Arial" w:hAnsi="Arial"/>
                <w:color w:val="000000"/>
                <w:sz w:val="22"/>
                <w:szCs w:val="22"/>
              </w:rPr>
              <w:t>Proven experience to lead, engage, motivate, appraise and develop staff to deliver high standards of service and performance</w:t>
            </w:r>
          </w:p>
          <w:p>
            <w:pPr>
              <w:pStyle w:val="NormalWeb"/>
              <w:spacing w:before="280" w:after="280"/>
              <w:rPr/>
            </w:pPr>
            <w:r>
              <w:rPr>
                <w:rFonts w:eastAsia="Arial" w:cs="Arial" w:ascii="Arial" w:hAnsi="Arial"/>
                <w:color w:val="000000"/>
                <w:sz w:val="22"/>
                <w:szCs w:val="22"/>
              </w:rPr>
              <w:t xml:space="preserve">      </w:t>
            </w:r>
            <w:r>
              <w:rPr>
                <w:rFonts w:cs="Arial" w:ascii="Arial" w:hAnsi="Arial"/>
                <w:color w:val="000000"/>
                <w:sz w:val="22"/>
                <w:szCs w:val="22"/>
              </w:rPr>
              <w:t>2. Successfully led teams to respond positively to change</w:t>
            </w:r>
          </w:p>
          <w:p>
            <w:pPr>
              <w:pStyle w:val="NormalWeb"/>
              <w:spacing w:before="280" w:after="280"/>
              <w:rPr/>
            </w:pPr>
            <w:r>
              <w:rPr>
                <w:rFonts w:eastAsia="Arial" w:cs="Arial" w:ascii="Arial" w:hAnsi="Arial"/>
                <w:color w:val="000000"/>
                <w:sz w:val="22"/>
                <w:szCs w:val="22"/>
              </w:rPr>
              <w:t xml:space="preserve">      </w:t>
            </w:r>
            <w:r>
              <w:rPr>
                <w:rFonts w:cs="Arial" w:ascii="Arial" w:hAnsi="Arial"/>
                <w:color w:val="000000"/>
                <w:sz w:val="22"/>
                <w:szCs w:val="22"/>
              </w:rPr>
              <w:t>3. Experience of effective budget management and deliver services plans on time and on budget</w:t>
            </w:r>
          </w:p>
          <w:p>
            <w:pPr>
              <w:pStyle w:val="NormalWeb"/>
              <w:spacing w:before="280" w:after="280"/>
              <w:rPr/>
            </w:pPr>
            <w:r>
              <w:rPr>
                <w:rFonts w:eastAsia="Arial" w:cs="Arial" w:ascii="Arial" w:hAnsi="Arial"/>
                <w:color w:val="000000"/>
                <w:sz w:val="22"/>
                <w:szCs w:val="22"/>
              </w:rPr>
              <w:t xml:space="preserve">      </w:t>
            </w:r>
            <w:r>
              <w:rPr>
                <w:rFonts w:cs="Arial" w:ascii="Arial" w:hAnsi="Arial"/>
                <w:color w:val="000000"/>
                <w:sz w:val="22"/>
                <w:szCs w:val="22"/>
              </w:rPr>
              <w:t>4. A good understanding of the political structure and role of elected members</w:t>
            </w:r>
          </w:p>
          <w:p>
            <w:pPr>
              <w:pStyle w:val="NormalWeb"/>
              <w:spacing w:before="280" w:after="280"/>
              <w:rPr/>
            </w:pPr>
            <w:r>
              <w:rPr>
                <w:rFonts w:eastAsia="Arial" w:cs="Arial" w:ascii="Arial" w:hAnsi="Arial"/>
                <w:color w:val="000000"/>
                <w:sz w:val="22"/>
                <w:szCs w:val="22"/>
              </w:rPr>
              <w:t xml:space="preserve">      </w:t>
            </w:r>
            <w:r>
              <w:rPr>
                <w:rFonts w:cs="Arial" w:ascii="Arial" w:hAnsi="Arial"/>
                <w:color w:val="000000"/>
                <w:sz w:val="22"/>
                <w:szCs w:val="22"/>
              </w:rPr>
              <w:t xml:space="preserve">5. As a regular and intrinsic part of this role required you to speak to members of the public in English, the ability to   </w:t>
            </w:r>
          </w:p>
          <w:p>
            <w:pPr>
              <w:pStyle w:val="NormalWeb"/>
              <w:spacing w:before="280" w:after="280"/>
              <w:rPr/>
            </w:pPr>
            <w:r>
              <w:rPr>
                <w:rFonts w:eastAsia="Arial" w:cs="Arial" w:ascii="Arial" w:hAnsi="Arial"/>
                <w:color w:val="000000"/>
                <w:sz w:val="22"/>
                <w:szCs w:val="22"/>
              </w:rPr>
              <w:t xml:space="preserve">         </w:t>
            </w:r>
            <w:r>
              <w:rPr>
                <w:rFonts w:cs="Arial" w:ascii="Arial" w:hAnsi="Arial"/>
                <w:color w:val="000000"/>
                <w:sz w:val="22"/>
                <w:szCs w:val="22"/>
              </w:rPr>
              <w:t xml:space="preserve">converse at ease, politely and courteously with customers and provide advice in accurate spoken English is essential and      </w:t>
            </w:r>
          </w:p>
          <w:p>
            <w:pPr>
              <w:pStyle w:val="NormalWeb"/>
              <w:spacing w:before="280" w:after="280"/>
              <w:rPr/>
            </w:pPr>
            <w:r>
              <w:rPr>
                <w:rFonts w:eastAsia="Arial" w:cs="Arial" w:ascii="Arial" w:hAnsi="Arial"/>
                <w:color w:val="000000"/>
                <w:sz w:val="22"/>
                <w:szCs w:val="22"/>
              </w:rPr>
              <w:t xml:space="preserve">         </w:t>
            </w:r>
            <w:r>
              <w:rPr>
                <w:rFonts w:cs="Arial" w:ascii="Arial" w:hAnsi="Arial"/>
                <w:color w:val="000000"/>
                <w:sz w:val="22"/>
                <w:szCs w:val="22"/>
              </w:rPr>
              <w:t>consistent with the requirements of this role.</w:t>
            </w:r>
          </w:p>
          <w:p>
            <w:pPr>
              <w:pStyle w:val="Normal"/>
              <w:spacing w:lineRule="auto" w:line="235" w:before="0" w:after="1"/>
              <w:ind w:left="284" w:right="0" w:hanging="0"/>
              <w:jc w:val="both"/>
              <w:rPr/>
            </w:pPr>
            <w:r>
              <w:rPr>
                <w:szCs w:val="22"/>
              </w:rPr>
              <w:t>6.</w:t>
            </w:r>
            <w:r>
              <w:rPr/>
              <w:t xml:space="preserve"> Extensive asset/estate management knowledge and experience in commercial/public sector surveying. This experience should include a variety of General Practice specialisms, for example, Valuation, Landlord and Tenant, Asset Management, Compulsory Purchase, Business Rates, Voluntary Sector etc. </w:t>
            </w:r>
          </w:p>
          <w:p>
            <w:pPr>
              <w:pStyle w:val="Normal"/>
              <w:spacing w:lineRule="auto" w:line="256" w:before="0" w:after="0"/>
              <w:ind w:left="720" w:right="0" w:hanging="0"/>
              <w:jc w:val="both"/>
              <w:rPr/>
            </w:pPr>
            <w:r>
              <w:rPr/>
            </w:r>
          </w:p>
          <w:p>
            <w:pPr>
              <w:pStyle w:val="Normal"/>
              <w:spacing w:lineRule="auto" w:line="235" w:before="0" w:after="2"/>
              <w:ind w:left="0" w:right="0" w:hanging="10"/>
              <w:jc w:val="both"/>
              <w:rPr/>
            </w:pPr>
            <w:r>
              <w:rPr/>
              <w:t xml:space="preserve">     </w:t>
            </w:r>
            <w:r>
              <w:rPr/>
              <w:t xml:space="preserve">7. Local government and/or private sector experience across a diverse operational/occupational portfolio with demonstrable   </w:t>
            </w:r>
          </w:p>
          <w:p>
            <w:pPr>
              <w:pStyle w:val="Normal"/>
              <w:spacing w:lineRule="auto" w:line="235" w:before="0" w:after="2"/>
              <w:ind w:left="0" w:right="0" w:hanging="10"/>
              <w:jc w:val="both"/>
              <w:rPr/>
            </w:pPr>
            <w:r>
              <w:rPr/>
              <w:t xml:space="preserve">         </w:t>
            </w:r>
            <w:r>
              <w:rPr/>
              <w:t xml:space="preserve">experience of advising and presenting to the most senior stakeholders in recent roles. </w:t>
            </w:r>
          </w:p>
          <w:p>
            <w:pPr>
              <w:pStyle w:val="Normal"/>
              <w:spacing w:lineRule="auto" w:line="235" w:before="0" w:after="2"/>
              <w:ind w:left="0" w:right="0" w:hanging="10"/>
              <w:jc w:val="both"/>
              <w:rPr/>
            </w:pPr>
            <w:r>
              <w:rPr/>
              <w:t xml:space="preserve">     </w:t>
            </w:r>
          </w:p>
          <w:p>
            <w:pPr>
              <w:pStyle w:val="Normal"/>
              <w:spacing w:lineRule="auto" w:line="240" w:before="0" w:after="0"/>
              <w:ind w:left="310" w:right="0" w:hanging="0"/>
              <w:jc w:val="both"/>
              <w:rPr/>
            </w:pPr>
            <w:r>
              <w:rPr/>
              <w:t xml:space="preserve">8. Extensive knowledge, experience and understanding of asset management best practice across a varied portfolio of                </w:t>
            </w:r>
          </w:p>
          <w:p>
            <w:pPr>
              <w:pStyle w:val="Normal"/>
              <w:spacing w:lineRule="auto" w:line="240" w:before="0" w:after="0"/>
              <w:ind w:left="310" w:right="0" w:hanging="0"/>
              <w:jc w:val="both"/>
              <w:rPr/>
            </w:pPr>
            <w:r>
              <w:rPr/>
              <w:t xml:space="preserve">    </w:t>
            </w:r>
            <w:r>
              <w:rPr/>
              <w:t xml:space="preserve">mixed assets, high and low level values with varying objectives from the portfolios. </w:t>
            </w:r>
          </w:p>
          <w:p>
            <w:pPr>
              <w:pStyle w:val="Normal"/>
              <w:spacing w:lineRule="auto" w:line="256" w:before="0" w:after="0"/>
              <w:ind w:left="0" w:right="0" w:hanging="0"/>
              <w:jc w:val="both"/>
              <w:rPr/>
            </w:pPr>
            <w:r>
              <w:rPr/>
              <w:t xml:space="preserve"> </w:t>
            </w:r>
          </w:p>
          <w:p>
            <w:pPr>
              <w:pStyle w:val="Normal"/>
              <w:spacing w:lineRule="auto" w:line="235" w:before="0" w:after="0"/>
              <w:ind w:left="310" w:right="0" w:hanging="0"/>
              <w:jc w:val="both"/>
              <w:rPr/>
            </w:pPr>
            <w:r>
              <w:rPr/>
              <w:t xml:space="preserve">9. Experience managing staff as well as external providers of professional services within an asset management/estate management team </w:t>
            </w:r>
          </w:p>
          <w:p>
            <w:pPr>
              <w:pStyle w:val="Normal"/>
              <w:spacing w:lineRule="auto" w:line="256" w:before="0" w:after="0"/>
              <w:ind w:left="0" w:right="0" w:hanging="0"/>
              <w:jc w:val="both"/>
              <w:rPr/>
            </w:pPr>
            <w:r>
              <w:rPr/>
              <w:t xml:space="preserve"> </w:t>
            </w:r>
          </w:p>
          <w:p>
            <w:pPr>
              <w:pStyle w:val="ListParagraph"/>
              <w:numPr>
                <w:ilvl w:val="0"/>
                <w:numId w:val="7"/>
              </w:numPr>
              <w:spacing w:lineRule="auto" w:line="235" w:before="0" w:after="3"/>
              <w:contextualSpacing/>
              <w:jc w:val="both"/>
              <w:rPr>
                <w:rFonts w:ascii="Arial" w:hAnsi="Arial" w:cs="Arial"/>
              </w:rPr>
            </w:pPr>
            <w:r>
              <w:rPr>
                <w:rFonts w:cs="Arial" w:ascii="Arial" w:hAnsi="Arial"/>
              </w:rPr>
              <w:t xml:space="preserve">Strategic thinker with excellent judgement and an ability to work effectively across professional disciplines within the built environment. Experience in developing and delivering strategies with proven successful deliverables. </w:t>
            </w:r>
          </w:p>
          <w:p>
            <w:pPr>
              <w:pStyle w:val="Normal"/>
              <w:spacing w:lineRule="auto" w:line="256" w:before="0" w:after="0"/>
              <w:ind w:left="720" w:right="0" w:hanging="0"/>
              <w:jc w:val="both"/>
              <w:rPr/>
            </w:pPr>
            <w:r>
              <w:rPr/>
              <w:t xml:space="preserve"> </w:t>
            </w:r>
          </w:p>
          <w:p>
            <w:pPr>
              <w:pStyle w:val="Normal"/>
              <w:numPr>
                <w:ilvl w:val="0"/>
                <w:numId w:val="7"/>
              </w:numPr>
              <w:spacing w:lineRule="auto" w:line="235" w:before="0" w:after="2"/>
              <w:jc w:val="both"/>
              <w:rPr/>
            </w:pPr>
            <w:r>
              <w:rPr/>
              <w:t xml:space="preserve">Good working knowledge of IT systems, including MS Office, asset management programmes, data bases, budgeting, and other relevant software packages. </w:t>
            </w:r>
          </w:p>
          <w:p>
            <w:pPr>
              <w:pStyle w:val="Normal"/>
              <w:spacing w:lineRule="auto" w:line="256" w:before="0" w:after="0"/>
              <w:ind w:left="0" w:right="0" w:hanging="0"/>
              <w:jc w:val="both"/>
              <w:rPr/>
            </w:pPr>
            <w:r>
              <w:rPr/>
              <w:t xml:space="preserve"> </w:t>
            </w:r>
          </w:p>
          <w:p>
            <w:pPr>
              <w:pStyle w:val="Normal"/>
              <w:numPr>
                <w:ilvl w:val="0"/>
                <w:numId w:val="7"/>
              </w:numPr>
              <w:spacing w:lineRule="auto" w:line="256" w:before="0" w:after="0"/>
              <w:jc w:val="both"/>
              <w:rPr/>
            </w:pPr>
            <w:r>
              <w:rPr/>
              <w:t xml:space="preserve">Detailed understanding of all relevant legislation relation to operational and occupational property </w:t>
            </w:r>
          </w:p>
          <w:p>
            <w:pPr>
              <w:pStyle w:val="Normal"/>
              <w:spacing w:lineRule="auto" w:line="256" w:before="0" w:after="0"/>
              <w:ind w:left="720" w:right="0" w:hanging="0"/>
              <w:jc w:val="both"/>
              <w:rPr/>
            </w:pPr>
            <w:r>
              <w:rPr/>
            </w:r>
          </w:p>
          <w:p>
            <w:pPr>
              <w:pStyle w:val="Normal"/>
              <w:spacing w:lineRule="auto" w:line="256" w:before="0" w:after="0"/>
              <w:ind w:left="0" w:right="139" w:hanging="0"/>
              <w:jc w:val="both"/>
              <w:rPr/>
            </w:pPr>
            <w:r>
              <w:rPr/>
              <w:t xml:space="preserve">    </w:t>
            </w:r>
            <w:r>
              <w:rPr/>
              <w:t xml:space="preserve">13. Sound commercial and financial acumen with experience in managing, planning and monitoring significant budgets. </w:t>
            </w:r>
          </w:p>
          <w:p>
            <w:pPr>
              <w:pStyle w:val="Normal"/>
              <w:spacing w:lineRule="auto" w:line="256" w:before="0" w:after="0"/>
              <w:ind w:left="0" w:right="0" w:hanging="0"/>
              <w:jc w:val="both"/>
              <w:rPr/>
            </w:pPr>
            <w:r>
              <w:rPr/>
            </w:r>
          </w:p>
          <w:p>
            <w:pPr>
              <w:pStyle w:val="Normal"/>
              <w:spacing w:lineRule="auto" w:line="256" w:before="0" w:after="0"/>
              <w:ind w:left="0" w:right="0" w:hanging="0"/>
              <w:jc w:val="both"/>
              <w:rPr>
                <w:b/>
                <w:b/>
                <w:color w:val="7030A0"/>
              </w:rPr>
            </w:pPr>
            <w:r>
              <w:rPr>
                <w:b/>
                <w:color w:val="7030A0"/>
              </w:rPr>
              <w:t xml:space="preserve">Desirable: </w:t>
            </w:r>
          </w:p>
          <w:p>
            <w:pPr>
              <w:pStyle w:val="Normal"/>
              <w:spacing w:lineRule="auto" w:line="256" w:before="0" w:after="105"/>
              <w:jc w:val="both"/>
              <w:rPr/>
            </w:pPr>
            <w:r>
              <w:rPr/>
              <w:t xml:space="preserve">1. Understanding of the Corporate Landlord approach to asset management </w:t>
            </w:r>
          </w:p>
          <w:p>
            <w:pPr>
              <w:pStyle w:val="Normal"/>
              <w:spacing w:lineRule="auto" w:line="256" w:before="0" w:after="105"/>
              <w:jc w:val="both"/>
              <w:rPr/>
            </w:pPr>
            <w:r>
              <w:rPr/>
              <w:t>2. Experience of working with and winning over a large and diverse stakeholder community</w:t>
            </w:r>
            <w:r>
              <w:rPr>
                <w:b/>
              </w:rPr>
              <w:t xml:space="preserve"> </w:t>
            </w:r>
          </w:p>
          <w:p>
            <w:pPr>
              <w:pStyle w:val="Normal"/>
              <w:spacing w:lineRule="auto" w:line="256" w:before="0" w:after="105"/>
              <w:jc w:val="both"/>
              <w:rPr>
                <w:bCs/>
              </w:rPr>
            </w:pPr>
            <w:r>
              <w:rPr>
                <w:bCs/>
              </w:rPr>
              <w:t>3. Experience of developing a significant change programme</w:t>
            </w:r>
          </w:p>
          <w:p>
            <w:pPr>
              <w:pStyle w:val="Normal"/>
              <w:spacing w:lineRule="auto" w:line="256" w:before="0" w:after="105"/>
              <w:rPr>
                <w:bCs/>
              </w:rPr>
            </w:pPr>
            <w:r>
              <w:rPr>
                <w:bCs/>
              </w:rPr>
            </w:r>
          </w:p>
        </w:tc>
        <w:tc>
          <w:tcPr>
            <w:tcW w:w="2034" w:type="dxa"/>
            <w:tcBorders>
              <w:top w:val="single" w:sz="6" w:space="0" w:color="000000"/>
              <w:left w:val="single" w:sz="6" w:space="0" w:color="000000"/>
              <w:bottom w:val="single" w:sz="6" w:space="0" w:color="000000"/>
              <w:right w:val="single" w:sz="12" w:space="0" w:color="000000"/>
            </w:tcBorders>
            <w:shd w:fill="D9D9D9" w:val="clear"/>
          </w:tcPr>
          <w:p>
            <w:pPr>
              <w:pStyle w:val="Normal"/>
              <w:snapToGrid w:val="false"/>
              <w:rPr>
                <w:b/>
                <w:b/>
                <w:bCs/>
                <w:szCs w:val="22"/>
              </w:rPr>
            </w:pPr>
            <w:r>
              <w:rPr>
                <w:b/>
                <w:bCs/>
                <w:szCs w:val="22"/>
              </w:rPr>
            </w:r>
          </w:p>
          <w:p>
            <w:pPr>
              <w:pStyle w:val="Normal"/>
              <w:rPr>
                <w:b/>
                <w:b/>
                <w:bCs/>
                <w:szCs w:val="22"/>
              </w:rPr>
            </w:pPr>
            <w:r>
              <w:rPr>
                <w:b/>
                <w:bCs/>
                <w:szCs w:val="22"/>
              </w:rPr>
            </w:r>
          </w:p>
          <w:p>
            <w:pPr>
              <w:pStyle w:val="Normal"/>
              <w:rPr>
                <w:b/>
                <w:b/>
                <w:bCs/>
                <w:szCs w:val="22"/>
              </w:rPr>
            </w:pPr>
            <w:r>
              <w:rPr>
                <w:b/>
                <w:bCs/>
                <w:szCs w:val="22"/>
              </w:rPr>
            </w:r>
          </w:p>
          <w:p>
            <w:pPr>
              <w:pStyle w:val="Normal"/>
              <w:rPr>
                <w:b/>
                <w:b/>
                <w:bCs/>
                <w:szCs w:val="22"/>
              </w:rPr>
            </w:pPr>
            <w:r>
              <w:rPr>
                <w:b/>
                <w:bCs/>
                <w:szCs w:val="22"/>
              </w:rPr>
            </w:r>
          </w:p>
          <w:p>
            <w:pPr>
              <w:pStyle w:val="Normal"/>
              <w:rPr>
                <w:b/>
                <w:b/>
                <w:bCs/>
                <w:szCs w:val="22"/>
              </w:rPr>
            </w:pPr>
            <w:r>
              <w:rPr>
                <w:b/>
                <w:bCs/>
                <w:szCs w:val="22"/>
              </w:rPr>
            </w:r>
          </w:p>
          <w:p>
            <w:pPr>
              <w:pStyle w:val="Normal"/>
              <w:rPr>
                <w:b/>
                <w:b/>
                <w:bCs/>
                <w:szCs w:val="22"/>
              </w:rPr>
            </w:pPr>
            <w:r>
              <w:rPr>
                <w:b/>
                <w:bCs/>
                <w:szCs w:val="22"/>
              </w:rPr>
              <w:t>A/I</w:t>
            </w:r>
          </w:p>
          <w:p>
            <w:pPr>
              <w:pStyle w:val="Normal"/>
              <w:rPr>
                <w:b/>
                <w:b/>
                <w:bCs/>
                <w:szCs w:val="22"/>
              </w:rPr>
            </w:pPr>
            <w:r>
              <w:rPr>
                <w:b/>
                <w:bCs/>
                <w:szCs w:val="22"/>
              </w:rPr>
            </w:r>
          </w:p>
          <w:p>
            <w:pPr>
              <w:pStyle w:val="Normal"/>
              <w:rPr>
                <w:b/>
                <w:b/>
                <w:bCs/>
                <w:szCs w:val="22"/>
              </w:rPr>
            </w:pPr>
            <w:r>
              <w:rPr>
                <w:b/>
                <w:bCs/>
                <w:szCs w:val="22"/>
              </w:rPr>
            </w:r>
          </w:p>
          <w:p>
            <w:pPr>
              <w:pStyle w:val="Normal"/>
              <w:rPr>
                <w:b/>
                <w:b/>
                <w:bCs/>
                <w:szCs w:val="22"/>
              </w:rPr>
            </w:pPr>
            <w:r>
              <w:rPr>
                <w:b/>
                <w:bCs/>
                <w:szCs w:val="22"/>
              </w:rPr>
              <w:t>A/I</w:t>
            </w:r>
          </w:p>
          <w:p>
            <w:pPr>
              <w:pStyle w:val="Normal"/>
              <w:rPr>
                <w:b/>
                <w:b/>
                <w:bCs/>
                <w:szCs w:val="22"/>
              </w:rPr>
            </w:pPr>
            <w:r>
              <w:rPr>
                <w:b/>
                <w:bCs/>
                <w:szCs w:val="22"/>
              </w:rPr>
            </w:r>
          </w:p>
          <w:p>
            <w:pPr>
              <w:pStyle w:val="Normal"/>
              <w:rPr>
                <w:b/>
                <w:b/>
                <w:bCs/>
                <w:szCs w:val="22"/>
              </w:rPr>
            </w:pPr>
            <w:r>
              <w:rPr>
                <w:b/>
                <w:bCs/>
                <w:szCs w:val="22"/>
              </w:rPr>
              <w:t>A/I</w:t>
            </w:r>
          </w:p>
          <w:p>
            <w:pPr>
              <w:pStyle w:val="Normal"/>
              <w:rPr>
                <w:b/>
                <w:b/>
                <w:bCs/>
                <w:szCs w:val="22"/>
              </w:rPr>
            </w:pPr>
            <w:r>
              <w:rPr>
                <w:b/>
                <w:bCs/>
                <w:szCs w:val="22"/>
              </w:rPr>
            </w:r>
          </w:p>
          <w:p>
            <w:pPr>
              <w:pStyle w:val="Normal"/>
              <w:rPr>
                <w:b/>
                <w:b/>
                <w:bCs/>
                <w:szCs w:val="22"/>
              </w:rPr>
            </w:pPr>
            <w:r>
              <w:rPr>
                <w:b/>
                <w:bCs/>
                <w:szCs w:val="22"/>
              </w:rPr>
              <w:t>A/I</w:t>
            </w:r>
          </w:p>
          <w:p>
            <w:pPr>
              <w:pStyle w:val="Normal"/>
              <w:spacing w:before="120" w:after="5"/>
              <w:ind w:left="0" w:right="0" w:hanging="0"/>
              <w:rPr/>
            </w:pPr>
            <w:r>
              <w:rPr>
                <w:b/>
                <w:bCs/>
                <w:szCs w:val="22"/>
              </w:rPr>
              <w:t xml:space="preserve">    </w:t>
            </w:r>
            <w:r>
              <w:rPr>
                <w:b/>
                <w:bCs/>
                <w:szCs w:val="22"/>
              </w:rPr>
              <w:t>A/I</w:t>
            </w:r>
          </w:p>
          <w:p>
            <w:pPr>
              <w:pStyle w:val="Normal"/>
              <w:rPr>
                <w:b/>
                <w:b/>
                <w:bCs/>
                <w:szCs w:val="22"/>
              </w:rPr>
            </w:pPr>
            <w:r>
              <w:rPr>
                <w:b/>
                <w:bCs/>
                <w:szCs w:val="22"/>
              </w:rPr>
            </w:r>
          </w:p>
          <w:p>
            <w:pPr>
              <w:pStyle w:val="Normal"/>
              <w:spacing w:before="120" w:after="5"/>
              <w:ind w:left="0" w:right="0" w:hanging="0"/>
              <w:rPr>
                <w:b/>
                <w:b/>
                <w:bCs/>
                <w:szCs w:val="22"/>
              </w:rPr>
            </w:pPr>
            <w:r>
              <w:rPr>
                <w:b/>
                <w:bCs/>
                <w:szCs w:val="22"/>
              </w:rPr>
              <w:t xml:space="preserve">   </w:t>
            </w:r>
          </w:p>
          <w:p>
            <w:pPr>
              <w:pStyle w:val="Normal"/>
              <w:spacing w:before="120" w:after="5"/>
              <w:ind w:left="0" w:right="0" w:hanging="0"/>
              <w:rPr>
                <w:b/>
                <w:b/>
                <w:bCs/>
                <w:szCs w:val="22"/>
              </w:rPr>
            </w:pPr>
            <w:r>
              <w:rPr>
                <w:b/>
                <w:bCs/>
                <w:szCs w:val="22"/>
              </w:rPr>
              <w:t xml:space="preserve">  </w:t>
            </w:r>
          </w:p>
          <w:p>
            <w:pPr>
              <w:pStyle w:val="Normal"/>
              <w:spacing w:before="120" w:after="5"/>
              <w:ind w:left="0" w:right="0" w:hanging="0"/>
              <w:rPr>
                <w:b/>
                <w:b/>
                <w:bCs/>
                <w:szCs w:val="22"/>
              </w:rPr>
            </w:pPr>
            <w:r>
              <w:rPr>
                <w:b/>
                <w:bCs/>
                <w:szCs w:val="22"/>
              </w:rPr>
            </w:r>
          </w:p>
          <w:p>
            <w:pPr>
              <w:pStyle w:val="Normal"/>
              <w:spacing w:before="120" w:after="5"/>
              <w:ind w:left="0" w:right="0" w:hanging="0"/>
              <w:rPr/>
            </w:pPr>
            <w:r>
              <w:rPr>
                <w:b/>
                <w:bCs/>
                <w:szCs w:val="22"/>
              </w:rPr>
              <w:t xml:space="preserve">     </w:t>
            </w:r>
            <w:r>
              <w:rPr>
                <w:b/>
                <w:bCs/>
                <w:szCs w:val="22"/>
              </w:rPr>
              <w:t>A/I</w:t>
            </w:r>
          </w:p>
          <w:p>
            <w:pPr>
              <w:pStyle w:val="Normal"/>
              <w:spacing w:before="120" w:after="5"/>
              <w:rPr>
                <w:b/>
                <w:b/>
                <w:bCs/>
                <w:szCs w:val="22"/>
              </w:rPr>
            </w:pPr>
            <w:r>
              <w:rPr>
                <w:b/>
                <w:bCs/>
                <w:szCs w:val="22"/>
              </w:rPr>
            </w:r>
          </w:p>
          <w:p>
            <w:pPr>
              <w:pStyle w:val="Normal"/>
              <w:spacing w:before="120" w:after="5"/>
              <w:rPr>
                <w:b/>
                <w:b/>
                <w:bCs/>
                <w:szCs w:val="22"/>
              </w:rPr>
            </w:pPr>
            <w:r>
              <w:rPr>
                <w:b/>
                <w:bCs/>
                <w:szCs w:val="22"/>
              </w:rPr>
            </w:r>
          </w:p>
          <w:p>
            <w:pPr>
              <w:pStyle w:val="Normal"/>
              <w:spacing w:before="120" w:after="5"/>
              <w:rPr>
                <w:b/>
                <w:b/>
                <w:bCs/>
                <w:szCs w:val="22"/>
              </w:rPr>
            </w:pPr>
            <w:r>
              <w:rPr>
                <w:b/>
                <w:bCs/>
                <w:szCs w:val="22"/>
              </w:rPr>
              <w:t>A/I</w:t>
            </w:r>
          </w:p>
          <w:p>
            <w:pPr>
              <w:pStyle w:val="Normal"/>
              <w:spacing w:before="120" w:after="5"/>
              <w:ind w:left="0" w:right="0" w:hanging="0"/>
              <w:rPr>
                <w:b/>
                <w:b/>
                <w:bCs/>
                <w:szCs w:val="22"/>
              </w:rPr>
            </w:pPr>
            <w:r>
              <w:rPr>
                <w:b/>
                <w:bCs/>
                <w:szCs w:val="22"/>
              </w:rPr>
              <w:t xml:space="preserve">     </w:t>
            </w:r>
          </w:p>
          <w:p>
            <w:pPr>
              <w:pStyle w:val="Normal"/>
              <w:spacing w:before="120" w:after="5"/>
              <w:ind w:left="0" w:right="0" w:hanging="0"/>
              <w:rPr/>
            </w:pPr>
            <w:r>
              <w:rPr>
                <w:b/>
                <w:bCs/>
                <w:szCs w:val="22"/>
              </w:rPr>
              <w:t xml:space="preserve">     </w:t>
            </w:r>
            <w:r>
              <w:rPr>
                <w:b/>
                <w:bCs/>
                <w:szCs w:val="22"/>
              </w:rPr>
              <w:t>A/I</w:t>
            </w:r>
          </w:p>
          <w:p>
            <w:pPr>
              <w:pStyle w:val="Normal"/>
              <w:spacing w:before="120" w:after="5"/>
              <w:ind w:left="0" w:right="0" w:hanging="0"/>
              <w:rPr>
                <w:b/>
                <w:b/>
                <w:bCs/>
                <w:szCs w:val="22"/>
              </w:rPr>
            </w:pPr>
            <w:r>
              <w:rPr>
                <w:b/>
                <w:bCs/>
                <w:szCs w:val="22"/>
              </w:rPr>
            </w:r>
          </w:p>
          <w:p>
            <w:pPr>
              <w:pStyle w:val="Normal"/>
              <w:spacing w:before="120" w:after="5"/>
              <w:ind w:left="0" w:right="0" w:hanging="0"/>
              <w:rPr/>
            </w:pPr>
            <w:r>
              <w:rPr>
                <w:b/>
                <w:bCs/>
                <w:szCs w:val="22"/>
              </w:rPr>
              <w:t xml:space="preserve">     </w:t>
            </w:r>
            <w:r>
              <w:rPr>
                <w:b/>
                <w:bCs/>
                <w:szCs w:val="22"/>
              </w:rPr>
              <w:t>A/I</w:t>
            </w:r>
          </w:p>
          <w:p>
            <w:pPr>
              <w:pStyle w:val="Normal"/>
              <w:spacing w:before="120" w:after="5"/>
              <w:ind w:left="0" w:right="0" w:hanging="0"/>
              <w:rPr>
                <w:b/>
                <w:b/>
                <w:bCs/>
                <w:szCs w:val="22"/>
              </w:rPr>
            </w:pPr>
            <w:r>
              <w:rPr>
                <w:b/>
                <w:bCs/>
                <w:szCs w:val="22"/>
              </w:rPr>
              <w:t xml:space="preserve">     </w:t>
            </w:r>
          </w:p>
          <w:p>
            <w:pPr>
              <w:pStyle w:val="Normal"/>
              <w:spacing w:before="120" w:after="5"/>
              <w:ind w:left="0" w:right="0" w:hanging="0"/>
              <w:rPr/>
            </w:pPr>
            <w:r>
              <w:rPr>
                <w:b/>
                <w:bCs/>
                <w:szCs w:val="22"/>
              </w:rPr>
              <w:t xml:space="preserve">     </w:t>
            </w:r>
            <w:r>
              <w:rPr>
                <w:b/>
                <w:bCs/>
                <w:szCs w:val="22"/>
              </w:rPr>
              <w:t>A/I</w:t>
            </w:r>
          </w:p>
          <w:p>
            <w:pPr>
              <w:pStyle w:val="Normal"/>
              <w:spacing w:before="120" w:after="5"/>
              <w:ind w:left="0" w:right="0" w:hanging="0"/>
              <w:rPr>
                <w:b/>
                <w:b/>
                <w:bCs/>
                <w:szCs w:val="22"/>
              </w:rPr>
            </w:pPr>
            <w:r>
              <w:rPr>
                <w:b/>
                <w:bCs/>
                <w:szCs w:val="22"/>
              </w:rPr>
              <w:t xml:space="preserve">     </w:t>
            </w:r>
          </w:p>
          <w:p>
            <w:pPr>
              <w:pStyle w:val="Normal"/>
              <w:spacing w:before="120" w:after="5"/>
              <w:ind w:left="0" w:right="0" w:hanging="0"/>
              <w:rPr/>
            </w:pPr>
            <w:r>
              <w:rPr>
                <w:b/>
                <w:bCs/>
                <w:szCs w:val="22"/>
              </w:rPr>
              <w:t xml:space="preserve">     </w:t>
            </w:r>
            <w:r>
              <w:rPr>
                <w:b/>
                <w:bCs/>
                <w:szCs w:val="22"/>
              </w:rPr>
              <w:t>A/I</w:t>
            </w:r>
          </w:p>
          <w:p>
            <w:pPr>
              <w:pStyle w:val="Normal"/>
              <w:spacing w:before="120" w:after="5"/>
              <w:ind w:left="0" w:right="0" w:hanging="0"/>
              <w:rPr>
                <w:b/>
                <w:b/>
                <w:bCs/>
                <w:szCs w:val="22"/>
              </w:rPr>
            </w:pPr>
            <w:r>
              <w:rPr>
                <w:b/>
                <w:bCs/>
                <w:szCs w:val="22"/>
              </w:rPr>
              <w:t xml:space="preserve">     </w:t>
            </w:r>
          </w:p>
          <w:p>
            <w:pPr>
              <w:pStyle w:val="Normal"/>
              <w:spacing w:before="120" w:after="5"/>
              <w:ind w:left="0" w:right="0" w:hanging="0"/>
              <w:rPr/>
            </w:pPr>
            <w:r>
              <w:rPr>
                <w:b/>
                <w:bCs/>
                <w:szCs w:val="22"/>
              </w:rPr>
              <w:t xml:space="preserve">     </w:t>
            </w:r>
            <w:r>
              <w:rPr>
                <w:b/>
                <w:bCs/>
                <w:szCs w:val="22"/>
              </w:rPr>
              <w:t xml:space="preserve">A/I </w:t>
            </w:r>
          </w:p>
          <w:p>
            <w:pPr>
              <w:pStyle w:val="Normal"/>
              <w:spacing w:before="120" w:after="5"/>
              <w:ind w:left="0" w:right="0" w:hanging="0"/>
              <w:rPr/>
            </w:pPr>
            <w:r>
              <w:rPr>
                <w:b/>
                <w:bCs/>
                <w:szCs w:val="22"/>
              </w:rPr>
              <w:t xml:space="preserve">     </w:t>
            </w:r>
            <w:r>
              <w:rPr>
                <w:b/>
                <w:bCs/>
                <w:szCs w:val="22"/>
              </w:rPr>
              <w:t>A/I</w:t>
            </w:r>
          </w:p>
          <w:p>
            <w:pPr>
              <w:pStyle w:val="Normal"/>
              <w:spacing w:before="120" w:after="5"/>
              <w:ind w:left="0" w:right="0" w:hanging="0"/>
              <w:rPr>
                <w:b/>
                <w:b/>
                <w:bCs/>
                <w:szCs w:val="22"/>
              </w:rPr>
            </w:pPr>
            <w:r>
              <w:rPr>
                <w:b/>
                <w:bCs/>
                <w:szCs w:val="22"/>
              </w:rPr>
            </w:r>
          </w:p>
          <w:p>
            <w:pPr>
              <w:pStyle w:val="Normal"/>
              <w:spacing w:before="120" w:after="5"/>
              <w:ind w:left="0" w:right="0" w:hanging="0"/>
              <w:rPr/>
            </w:pPr>
            <w:r>
              <w:rPr>
                <w:b/>
                <w:bCs/>
                <w:szCs w:val="22"/>
              </w:rPr>
              <w:t xml:space="preserve">     </w:t>
            </w:r>
            <w:r>
              <w:rPr>
                <w:b/>
                <w:bCs/>
                <w:szCs w:val="22"/>
              </w:rPr>
              <w:t>A/I</w:t>
            </w:r>
          </w:p>
          <w:p>
            <w:pPr>
              <w:pStyle w:val="Normal"/>
              <w:spacing w:before="120" w:after="5"/>
              <w:ind w:left="0" w:right="0" w:hanging="0"/>
              <w:rPr/>
            </w:pPr>
            <w:r>
              <w:rPr>
                <w:b/>
                <w:bCs/>
                <w:szCs w:val="22"/>
              </w:rPr>
              <w:t xml:space="preserve">     </w:t>
            </w:r>
            <w:r>
              <w:rPr>
                <w:b/>
                <w:bCs/>
                <w:szCs w:val="22"/>
              </w:rPr>
              <w:t>A/I</w:t>
            </w:r>
          </w:p>
          <w:p>
            <w:pPr>
              <w:pStyle w:val="Normal"/>
              <w:spacing w:before="120" w:after="5"/>
              <w:ind w:left="0" w:right="0" w:hanging="0"/>
              <w:rPr/>
            </w:pPr>
            <w:r>
              <w:rPr>
                <w:b/>
                <w:bCs/>
                <w:szCs w:val="22"/>
              </w:rPr>
              <w:t xml:space="preserve">     </w:t>
            </w:r>
            <w:r>
              <w:rPr>
                <w:b/>
                <w:bCs/>
                <w:szCs w:val="22"/>
              </w:rPr>
              <w:t>A/I</w:t>
            </w:r>
          </w:p>
        </w:tc>
      </w:tr>
      <w:tr>
        <w:trPr>
          <w:trHeight w:val="1261" w:hRule="atLeast"/>
        </w:trPr>
        <w:tc>
          <w:tcPr>
            <w:tcW w:w="12616" w:type="dxa"/>
            <w:tcBorders>
              <w:top w:val="single" w:sz="6" w:space="0" w:color="000000"/>
              <w:left w:val="single" w:sz="12" w:space="0" w:color="000000"/>
              <w:bottom w:val="single" w:sz="6" w:space="0" w:color="000000"/>
            </w:tcBorders>
            <w:shd w:fill="auto" w:val="clear"/>
            <w:vAlign w:val="center"/>
          </w:tcPr>
          <w:p>
            <w:pPr>
              <w:pStyle w:val="Normal"/>
              <w:rPr>
                <w:b/>
                <w:b/>
                <w:bCs/>
                <w:color w:val="7030A0"/>
                <w:szCs w:val="22"/>
              </w:rPr>
            </w:pPr>
            <w:r>
              <w:rPr>
                <w:b/>
                <w:bCs/>
                <w:color w:val="7030A0"/>
                <w:szCs w:val="22"/>
              </w:rPr>
              <w:t>Behaviours</w:t>
            </w:r>
          </w:p>
          <w:p>
            <w:pPr>
              <w:pStyle w:val="Normal"/>
              <w:rPr>
                <w:b/>
                <w:b/>
                <w:bCs/>
                <w:color w:val="7030A0"/>
                <w:szCs w:val="22"/>
              </w:rPr>
            </w:pPr>
            <w:r>
              <w:rPr>
                <w:b/>
                <w:bCs/>
                <w:color w:val="7030A0"/>
                <w:szCs w:val="22"/>
              </w:rPr>
            </w:r>
          </w:p>
          <w:p>
            <w:pPr>
              <w:pStyle w:val="Normal"/>
              <w:rPr/>
            </w:pPr>
            <w:r>
              <w:rPr/>
              <w:t xml:space="preserve">Appropriate behaviours are key to the delivery of our vision for Enfield. </w:t>
            </w:r>
          </w:p>
          <w:p>
            <w:pPr>
              <w:pStyle w:val="Normal"/>
              <w:rPr/>
            </w:pPr>
            <w:r>
              <w:rPr/>
            </w:r>
          </w:p>
          <w:p>
            <w:pPr>
              <w:pStyle w:val="Normal"/>
              <w:rPr/>
            </w:pPr>
            <w:r>
              <w:rPr/>
              <w:t xml:space="preserve">We want staff who will work collaboratively, flexibly and constructively, and exhibit this ethos in all their dealings with residents, colleagues and partners. Our leaders will be exemplars of the following behaviours and encourage them in staff at all levels. </w:t>
            </w:r>
          </w:p>
          <w:p>
            <w:pPr>
              <w:pStyle w:val="Normal"/>
              <w:rPr>
                <w:b/>
                <w:b/>
                <w:bCs/>
                <w:color w:val="CE02C4"/>
                <w:szCs w:val="22"/>
              </w:rPr>
            </w:pPr>
            <w:r>
              <w:rPr>
                <w:b/>
                <w:bCs/>
                <w:color w:val="CE02C4"/>
                <w:szCs w:val="22"/>
              </w:rPr>
            </w:r>
          </w:p>
          <w:p>
            <w:pPr>
              <w:pStyle w:val="Normal"/>
              <w:rPr/>
            </w:pPr>
            <w:r>
              <w:rPr>
                <w:b/>
                <w:bCs/>
                <w:szCs w:val="22"/>
              </w:rPr>
              <w:t>Takes Responsibility</w:t>
            </w:r>
            <w:r>
              <w:rPr/>
              <w:t xml:space="preserve"> </w:t>
            </w:r>
          </w:p>
          <w:p>
            <w:pPr>
              <w:pStyle w:val="Normal"/>
              <w:rPr/>
            </w:pPr>
            <w:r>
              <w:rPr/>
              <w:t>We want staff who are willing to make decisions and be accountable for them. Staff should have a positive can-do attitude where they see problems as challenges which can be overcome. They should accept responsibility for service delivery, be clear about their service offer and deliver what they promise.</w:t>
            </w:r>
          </w:p>
          <w:p>
            <w:pPr>
              <w:pStyle w:val="Normal"/>
              <w:rPr/>
            </w:pPr>
            <w:r>
              <w:rPr/>
            </w:r>
          </w:p>
          <w:p>
            <w:pPr>
              <w:pStyle w:val="Normal"/>
              <w:rPr>
                <w:b/>
                <w:b/>
                <w:bCs/>
                <w:szCs w:val="22"/>
              </w:rPr>
            </w:pPr>
            <w:r>
              <w:rPr>
                <w:b/>
                <w:bCs/>
                <w:szCs w:val="22"/>
              </w:rPr>
              <w:t>Is Open, Honest and Respectful</w:t>
            </w:r>
          </w:p>
          <w:p>
            <w:pPr>
              <w:pStyle w:val="Normal"/>
              <w:rPr/>
            </w:pPr>
            <w:r>
              <w:rPr/>
              <w:t>We want staff who are comfortable and confident to acknowledge the difficulties and the barriers they face. They should also be able to constructively challenge the way things are done where there is evidence that it impedes service delivery. Challenge should be conducted in a professional, courteous manner with the aim of reaching a mutually agreeable resolution.</w:t>
            </w:r>
          </w:p>
          <w:p>
            <w:pPr>
              <w:pStyle w:val="Normal"/>
              <w:rPr>
                <w:b/>
                <w:b/>
                <w:bCs/>
              </w:rPr>
            </w:pPr>
            <w:r>
              <w:rPr>
                <w:b/>
                <w:bCs/>
              </w:rPr>
            </w:r>
          </w:p>
          <w:p>
            <w:pPr>
              <w:pStyle w:val="Normal"/>
              <w:rPr>
                <w:b/>
                <w:b/>
                <w:bCs/>
              </w:rPr>
            </w:pPr>
            <w:r>
              <w:rPr>
                <w:b/>
                <w:bCs/>
              </w:rPr>
              <w:t xml:space="preserve">Actively Listening and Learning </w:t>
            </w:r>
          </w:p>
          <w:p>
            <w:pPr>
              <w:pStyle w:val="Normal"/>
              <w:rPr/>
            </w:pPr>
            <w:r>
              <w:rPr/>
              <w:t>We want staff who are prepared to actively listen and reflect on customer concerns with a view to understanding the customer’s point of view. Staff should be able to receive constructive criticism and be prepared to adapt the way they operate and deliver services where appropriate.</w:t>
            </w:r>
          </w:p>
          <w:p>
            <w:pPr>
              <w:pStyle w:val="Normal"/>
              <w:rPr>
                <w:b/>
                <w:b/>
                <w:bCs/>
              </w:rPr>
            </w:pPr>
            <w:r>
              <w:rPr>
                <w:b/>
                <w:bCs/>
              </w:rPr>
            </w:r>
          </w:p>
          <w:p>
            <w:pPr>
              <w:pStyle w:val="Normal"/>
              <w:rPr>
                <w:b/>
                <w:b/>
                <w:bCs/>
              </w:rPr>
            </w:pPr>
            <w:r>
              <w:rPr>
                <w:b/>
                <w:bCs/>
              </w:rPr>
              <w:t>Working Together to find solutions</w:t>
            </w:r>
          </w:p>
          <w:p>
            <w:pPr>
              <w:pStyle w:val="Normal"/>
              <w:rPr/>
            </w:pPr>
            <w:r>
              <w:rPr/>
              <w:t xml:space="preserve">We want staff who can work collaboratively with other departments and partners, freely sharing their knowledge and skills to identify solutions to address customer concerns. </w:t>
            </w:r>
          </w:p>
          <w:p>
            <w:pPr>
              <w:pStyle w:val="Normal"/>
              <w:rPr/>
            </w:pPr>
            <w:r>
              <w:rPr/>
            </w:r>
          </w:p>
          <w:p>
            <w:pPr>
              <w:pStyle w:val="Normal"/>
              <w:rPr>
                <w:b/>
                <w:b/>
                <w:bCs/>
                <w:szCs w:val="22"/>
              </w:rPr>
            </w:pPr>
            <w:r>
              <w:rPr>
                <w:b/>
                <w:bCs/>
                <w:szCs w:val="22"/>
              </w:rPr>
            </w:r>
          </w:p>
          <w:p>
            <w:pPr>
              <w:pStyle w:val="Normal"/>
              <w:rPr>
                <w:b/>
                <w:b/>
                <w:bCs/>
                <w:color w:val="7030A0"/>
                <w:szCs w:val="22"/>
              </w:rPr>
            </w:pPr>
            <w:r>
              <w:rPr>
                <w:b/>
                <w:bCs/>
                <w:color w:val="7030A0"/>
                <w:szCs w:val="22"/>
              </w:rPr>
              <w:t>Candidates: Please ensure you address these behaviours in your responses to the essential and desirable (if applicable) criteria above.</w:t>
            </w:r>
          </w:p>
          <w:p>
            <w:pPr>
              <w:pStyle w:val="Normal"/>
              <w:rPr>
                <w:b/>
                <w:b/>
                <w:bCs/>
                <w:color w:val="7030A0"/>
                <w:szCs w:val="22"/>
              </w:rPr>
            </w:pPr>
            <w:r>
              <w:rPr>
                <w:b/>
                <w:bCs/>
                <w:color w:val="7030A0"/>
                <w:szCs w:val="22"/>
              </w:rPr>
            </w:r>
          </w:p>
          <w:p>
            <w:pPr>
              <w:pStyle w:val="Normal"/>
              <w:spacing w:before="0" w:after="5"/>
              <w:rPr>
                <w:b/>
                <w:b/>
                <w:bCs/>
                <w:color w:val="800080"/>
                <w:szCs w:val="22"/>
              </w:rPr>
            </w:pPr>
            <w:r>
              <w:rPr>
                <w:b/>
                <w:bCs/>
                <w:color w:val="800080"/>
                <w:szCs w:val="22"/>
              </w:rPr>
            </w:r>
          </w:p>
        </w:tc>
        <w:tc>
          <w:tcPr>
            <w:tcW w:w="2034" w:type="dxa"/>
            <w:tcBorders>
              <w:top w:val="single" w:sz="6" w:space="0" w:color="000000"/>
              <w:left w:val="single" w:sz="6" w:space="0" w:color="000000"/>
              <w:bottom w:val="single" w:sz="6" w:space="0" w:color="000000"/>
              <w:right w:val="single" w:sz="12" w:space="0" w:color="000000"/>
            </w:tcBorders>
            <w:shd w:fill="auto" w:val="clear"/>
          </w:tcPr>
          <w:p>
            <w:pPr>
              <w:pStyle w:val="Normal"/>
              <w:snapToGrid w:val="false"/>
              <w:rPr>
                <w:b/>
                <w:b/>
                <w:bCs/>
                <w:color w:val="800080"/>
                <w:szCs w:val="22"/>
              </w:rPr>
            </w:pPr>
            <w:r>
              <w:rPr>
                <w:b/>
                <w:bCs/>
                <w:color w:val="800080"/>
                <w:szCs w:val="22"/>
              </w:rPr>
            </w:r>
          </w:p>
          <w:p>
            <w:pPr>
              <w:pStyle w:val="Normal"/>
              <w:rPr>
                <w:b/>
                <w:b/>
                <w:bCs/>
                <w:szCs w:val="22"/>
              </w:rPr>
            </w:pPr>
            <w:r>
              <w:rPr>
                <w:b/>
                <w:bCs/>
                <w:szCs w:val="22"/>
              </w:rPr>
            </w:r>
          </w:p>
          <w:p>
            <w:pPr>
              <w:pStyle w:val="Normal"/>
              <w:widowControl/>
              <w:bidi w:val="0"/>
              <w:spacing w:lineRule="auto" w:line="244" w:before="0" w:after="5"/>
              <w:jc w:val="left"/>
              <w:rPr>
                <w:b/>
                <w:b/>
                <w:bCs/>
                <w:szCs w:val="22"/>
              </w:rPr>
            </w:pPr>
            <w:r>
              <w:rPr>
                <w:b/>
                <w:bCs/>
                <w:szCs w:val="22"/>
              </w:rPr>
              <w:t>A/I</w:t>
            </w:r>
          </w:p>
        </w:tc>
      </w:tr>
      <w:tr>
        <w:trPr>
          <w:trHeight w:val="567" w:hRule="atLeast"/>
        </w:trPr>
        <w:tc>
          <w:tcPr>
            <w:tcW w:w="12616" w:type="dxa"/>
            <w:tcBorders>
              <w:top w:val="single" w:sz="6" w:space="0" w:color="000000"/>
              <w:left w:val="single" w:sz="12" w:space="0" w:color="000000"/>
              <w:bottom w:val="single" w:sz="6" w:space="0" w:color="000000"/>
            </w:tcBorders>
            <w:shd w:fill="auto" w:val="clear"/>
            <w:vAlign w:val="center"/>
          </w:tcPr>
          <w:p>
            <w:pPr>
              <w:pStyle w:val="Normal"/>
              <w:snapToGrid w:val="false"/>
              <w:rPr>
                <w:b/>
                <w:b/>
                <w:bCs/>
                <w:color w:val="7030A0"/>
                <w:szCs w:val="22"/>
              </w:rPr>
            </w:pPr>
            <w:r>
              <w:rPr>
                <w:b/>
                <w:bCs/>
                <w:color w:val="7030A0"/>
                <w:szCs w:val="22"/>
              </w:rPr>
            </w:r>
          </w:p>
          <w:p>
            <w:pPr>
              <w:pStyle w:val="Normal"/>
              <w:rPr>
                <w:b/>
                <w:b/>
                <w:bCs/>
                <w:color w:val="7030A0"/>
                <w:szCs w:val="22"/>
              </w:rPr>
            </w:pPr>
            <w:r>
              <w:rPr>
                <w:b/>
                <w:bCs/>
                <w:color w:val="7030A0"/>
                <w:szCs w:val="22"/>
              </w:rPr>
              <w:t>Competencies:</w:t>
            </w:r>
          </w:p>
          <w:p>
            <w:pPr>
              <w:pStyle w:val="Normal"/>
              <w:rPr>
                <w:b/>
                <w:b/>
                <w:bCs/>
                <w:color w:val="7030A0"/>
                <w:szCs w:val="22"/>
              </w:rPr>
            </w:pPr>
            <w:r>
              <w:rPr>
                <w:b/>
                <w:bCs/>
                <w:color w:val="7030A0"/>
                <w:szCs w:val="22"/>
              </w:rPr>
            </w:r>
          </w:p>
          <w:p>
            <w:pPr>
              <w:pStyle w:val="Normal"/>
              <w:rPr>
                <w:b/>
                <w:b/>
                <w:bCs/>
                <w:color w:val="7030A0"/>
                <w:szCs w:val="22"/>
              </w:rPr>
            </w:pPr>
            <w:r>
              <w:rPr>
                <w:b/>
                <w:bCs/>
                <w:color w:val="7030A0"/>
                <w:szCs w:val="22"/>
              </w:rPr>
              <w:t>Candidates: Please ensure you address these competencies in your responses to the essential and desirable (if applicable criteria above).</w:t>
            </w:r>
          </w:p>
          <w:p>
            <w:pPr>
              <w:pStyle w:val="Normal"/>
              <w:rPr>
                <w:b/>
                <w:b/>
                <w:bCs/>
                <w:color w:val="7030A0"/>
                <w:szCs w:val="22"/>
              </w:rPr>
            </w:pPr>
            <w:r>
              <w:rPr>
                <w:b/>
                <w:bCs/>
                <w:color w:val="7030A0"/>
                <w:szCs w:val="22"/>
              </w:rPr>
            </w:r>
          </w:p>
          <w:p>
            <w:pPr>
              <w:pStyle w:val="ListParagraph"/>
              <w:numPr>
                <w:ilvl w:val="0"/>
                <w:numId w:val="5"/>
              </w:numPr>
              <w:rPr>
                <w:rFonts w:ascii="Arial" w:hAnsi="Arial" w:cs="Arial"/>
                <w:b/>
                <w:b/>
                <w:bCs/>
              </w:rPr>
            </w:pPr>
            <w:r>
              <w:rPr>
                <w:rFonts w:cs="Arial" w:ascii="Arial" w:hAnsi="Arial"/>
                <w:b/>
                <w:bCs/>
              </w:rPr>
              <w:t xml:space="preserve">Customer focus </w:t>
            </w:r>
          </w:p>
          <w:p>
            <w:pPr>
              <w:pStyle w:val="ListParagraph"/>
              <w:numPr>
                <w:ilvl w:val="0"/>
                <w:numId w:val="5"/>
              </w:numPr>
              <w:rPr>
                <w:rFonts w:ascii="Arial" w:hAnsi="Arial" w:cs="Arial"/>
                <w:b/>
                <w:b/>
                <w:bCs/>
              </w:rPr>
            </w:pPr>
            <w:r>
              <w:rPr>
                <w:rFonts w:cs="Arial" w:ascii="Arial" w:hAnsi="Arial"/>
                <w:b/>
                <w:bCs/>
              </w:rPr>
              <w:t xml:space="preserve">Deliver service performance </w:t>
            </w:r>
          </w:p>
          <w:p>
            <w:pPr>
              <w:pStyle w:val="ListParagraph"/>
              <w:numPr>
                <w:ilvl w:val="0"/>
                <w:numId w:val="5"/>
              </w:numPr>
              <w:rPr>
                <w:rFonts w:ascii="Arial" w:hAnsi="Arial" w:cs="Arial"/>
                <w:b/>
                <w:b/>
                <w:bCs/>
              </w:rPr>
            </w:pPr>
            <w:r>
              <w:rPr>
                <w:rFonts w:cs="Arial" w:ascii="Arial" w:hAnsi="Arial"/>
                <w:b/>
                <w:bCs/>
              </w:rPr>
              <w:t xml:space="preserve">Focus on continuous improvement </w:t>
            </w:r>
          </w:p>
          <w:p>
            <w:pPr>
              <w:pStyle w:val="ListParagraph"/>
              <w:numPr>
                <w:ilvl w:val="0"/>
                <w:numId w:val="5"/>
              </w:numPr>
              <w:spacing w:before="0" w:after="160"/>
              <w:contextualSpacing/>
              <w:rPr>
                <w:rFonts w:ascii="Arial" w:hAnsi="Arial" w:cs="Arial"/>
                <w:b/>
                <w:b/>
                <w:bCs/>
              </w:rPr>
            </w:pPr>
            <w:r>
              <w:rPr>
                <w:rFonts w:cs="Arial" w:ascii="Arial" w:hAnsi="Arial"/>
                <w:b/>
                <w:bCs/>
              </w:rPr>
              <w:t>Political awareness and context</w:t>
            </w:r>
          </w:p>
        </w:tc>
        <w:tc>
          <w:tcPr>
            <w:tcW w:w="2034" w:type="dxa"/>
            <w:tcBorders>
              <w:top w:val="single" w:sz="6" w:space="0" w:color="000000"/>
              <w:left w:val="single" w:sz="6" w:space="0" w:color="000000"/>
              <w:bottom w:val="single" w:sz="6" w:space="0" w:color="000000"/>
              <w:right w:val="single" w:sz="12" w:space="0" w:color="000000"/>
            </w:tcBorders>
            <w:shd w:fill="auto" w:val="clear"/>
          </w:tcPr>
          <w:p>
            <w:pPr>
              <w:pStyle w:val="Normal"/>
              <w:snapToGrid w:val="false"/>
              <w:rPr>
                <w:b/>
                <w:b/>
                <w:bCs/>
                <w:szCs w:val="22"/>
              </w:rPr>
            </w:pPr>
            <w:r>
              <w:rPr>
                <w:b/>
                <w:bCs/>
                <w:szCs w:val="22"/>
              </w:rPr>
            </w:r>
          </w:p>
          <w:p>
            <w:pPr>
              <w:pStyle w:val="Normal"/>
              <w:rPr>
                <w:b/>
                <w:b/>
                <w:bCs/>
                <w:szCs w:val="22"/>
              </w:rPr>
            </w:pPr>
            <w:r>
              <w:rPr>
                <w:b/>
                <w:bCs/>
                <w:szCs w:val="22"/>
              </w:rPr>
            </w:r>
          </w:p>
          <w:p>
            <w:pPr>
              <w:pStyle w:val="Normal"/>
              <w:rPr>
                <w:b/>
                <w:b/>
                <w:bCs/>
                <w:szCs w:val="22"/>
              </w:rPr>
            </w:pPr>
            <w:r>
              <w:rPr>
                <w:b/>
                <w:bCs/>
                <w:szCs w:val="22"/>
              </w:rPr>
            </w:r>
          </w:p>
          <w:p>
            <w:pPr>
              <w:pStyle w:val="Normal"/>
              <w:rPr>
                <w:b/>
                <w:b/>
                <w:bCs/>
                <w:szCs w:val="22"/>
              </w:rPr>
            </w:pPr>
            <w:r>
              <w:rPr>
                <w:b/>
                <w:bCs/>
                <w:szCs w:val="22"/>
              </w:rPr>
            </w:r>
          </w:p>
          <w:p>
            <w:pPr>
              <w:pStyle w:val="Normal"/>
              <w:rPr>
                <w:b/>
                <w:b/>
                <w:bCs/>
                <w:szCs w:val="22"/>
              </w:rPr>
            </w:pPr>
            <w:r>
              <w:rPr>
                <w:b/>
                <w:bCs/>
                <w:szCs w:val="22"/>
              </w:rPr>
            </w:r>
          </w:p>
          <w:p>
            <w:pPr>
              <w:pStyle w:val="Normal"/>
              <w:rPr>
                <w:b/>
                <w:b/>
                <w:bCs/>
                <w:szCs w:val="22"/>
              </w:rPr>
            </w:pPr>
            <w:r>
              <w:rPr>
                <w:b/>
                <w:bCs/>
                <w:szCs w:val="22"/>
              </w:rPr>
            </w:r>
          </w:p>
          <w:p>
            <w:pPr>
              <w:pStyle w:val="Normal"/>
              <w:widowControl/>
              <w:bidi w:val="0"/>
              <w:spacing w:lineRule="auto" w:line="244" w:before="0" w:after="5"/>
              <w:jc w:val="left"/>
              <w:rPr>
                <w:b/>
                <w:b/>
                <w:bCs/>
                <w:szCs w:val="22"/>
              </w:rPr>
            </w:pPr>
            <w:r>
              <w:rPr>
                <w:b/>
                <w:bCs/>
                <w:szCs w:val="22"/>
              </w:rPr>
              <w:t>A/I</w:t>
            </w:r>
          </w:p>
        </w:tc>
      </w:tr>
      <w:tr>
        <w:trPr>
          <w:trHeight w:val="614" w:hRule="atLeast"/>
        </w:trPr>
        <w:tc>
          <w:tcPr>
            <w:tcW w:w="12616" w:type="dxa"/>
            <w:tcBorders>
              <w:top w:val="single" w:sz="6" w:space="0" w:color="000000"/>
              <w:left w:val="single" w:sz="12" w:space="0" w:color="000000"/>
              <w:bottom w:val="single" w:sz="6" w:space="0" w:color="000000"/>
            </w:tcBorders>
            <w:shd w:fill="auto" w:val="clear"/>
            <w:vAlign w:val="center"/>
          </w:tcPr>
          <w:p>
            <w:pPr>
              <w:pStyle w:val="Normal"/>
              <w:rPr>
                <w:b/>
                <w:b/>
                <w:bCs/>
                <w:color w:val="7030A0"/>
                <w:szCs w:val="22"/>
              </w:rPr>
            </w:pPr>
            <w:r>
              <w:rPr>
                <w:b/>
                <w:bCs/>
                <w:color w:val="7030A0"/>
                <w:szCs w:val="22"/>
              </w:rPr>
              <w:t>Qualifications &amp; Professional registration criteria</w:t>
            </w:r>
          </w:p>
          <w:p>
            <w:pPr>
              <w:pStyle w:val="Normal"/>
              <w:rPr>
                <w:b/>
                <w:b/>
                <w:bCs/>
                <w:color w:val="7030A0"/>
                <w:szCs w:val="22"/>
              </w:rPr>
            </w:pPr>
            <w:r>
              <w:rPr>
                <w:b/>
                <w:bCs/>
                <w:color w:val="7030A0"/>
                <w:szCs w:val="22"/>
              </w:rPr>
            </w:r>
          </w:p>
          <w:p>
            <w:pPr>
              <w:pStyle w:val="Normal"/>
              <w:rPr>
                <w:b/>
                <w:b/>
                <w:bCs/>
                <w:color w:val="7030A0"/>
                <w:szCs w:val="22"/>
              </w:rPr>
            </w:pPr>
            <w:r>
              <w:rPr>
                <w:b/>
                <w:bCs/>
                <w:color w:val="7030A0"/>
                <w:szCs w:val="22"/>
              </w:rPr>
              <w:t>Candidates: Please ensure you address these qualifications in your responses to the essential criteria, you will be expected to meet these requirements of the role and they will be explored with you at interview.</w:t>
            </w:r>
          </w:p>
          <w:p>
            <w:pPr>
              <w:pStyle w:val="Normal"/>
              <w:ind w:left="0" w:right="0" w:hanging="10"/>
              <w:rPr>
                <w:b/>
                <w:b/>
                <w:bCs/>
              </w:rPr>
            </w:pPr>
            <w:r>
              <w:rPr>
                <w:b/>
                <w:bCs/>
              </w:rPr>
            </w:r>
          </w:p>
          <w:p>
            <w:pPr>
              <w:pStyle w:val="Normal"/>
              <w:spacing w:lineRule="auto" w:line="256" w:before="0" w:after="0"/>
              <w:ind w:left="2" w:right="0" w:hanging="0"/>
              <w:rPr/>
            </w:pPr>
            <w:r>
              <w:rPr/>
              <w:t>1. Member or Fellow of the Royal Institution of Chartered Surveyors or relevant equivalent experience. Other desirable qualifications include IRRV, Prince 2, Accredited Mediator, Registered Valuer, MCIArb (or equivalent within those fields)</w:t>
            </w:r>
          </w:p>
        </w:tc>
        <w:tc>
          <w:tcPr>
            <w:tcW w:w="2034" w:type="dxa"/>
            <w:tcBorders>
              <w:top w:val="single" w:sz="6" w:space="0" w:color="000000"/>
              <w:left w:val="single" w:sz="6" w:space="0" w:color="000000"/>
              <w:bottom w:val="single" w:sz="6" w:space="0" w:color="000000"/>
              <w:right w:val="single" w:sz="12" w:space="0" w:color="000000"/>
            </w:tcBorders>
            <w:shd w:fill="auto" w:val="clear"/>
          </w:tcPr>
          <w:p>
            <w:pPr>
              <w:pStyle w:val="Normal"/>
              <w:snapToGrid w:val="false"/>
              <w:rPr>
                <w:b/>
                <w:b/>
                <w:bCs/>
                <w:szCs w:val="22"/>
              </w:rPr>
            </w:pPr>
            <w:r>
              <w:rPr>
                <w:b/>
                <w:bCs/>
                <w:szCs w:val="22"/>
              </w:rPr>
            </w:r>
          </w:p>
          <w:p>
            <w:pPr>
              <w:pStyle w:val="Normal"/>
              <w:rPr>
                <w:b/>
                <w:b/>
                <w:bCs/>
                <w:szCs w:val="22"/>
              </w:rPr>
            </w:pPr>
            <w:r>
              <w:rPr>
                <w:b/>
                <w:bCs/>
                <w:szCs w:val="22"/>
              </w:rPr>
            </w:r>
          </w:p>
          <w:p>
            <w:pPr>
              <w:pStyle w:val="Normal"/>
              <w:rPr>
                <w:b/>
                <w:b/>
                <w:bCs/>
                <w:szCs w:val="22"/>
              </w:rPr>
            </w:pPr>
            <w:r>
              <w:rPr>
                <w:b/>
                <w:bCs/>
                <w:szCs w:val="22"/>
              </w:rPr>
            </w:r>
          </w:p>
          <w:p>
            <w:pPr>
              <w:pStyle w:val="Normal"/>
              <w:rPr>
                <w:b/>
                <w:b/>
                <w:bCs/>
                <w:szCs w:val="22"/>
              </w:rPr>
            </w:pPr>
            <w:r>
              <w:rPr>
                <w:b/>
                <w:bCs/>
                <w:szCs w:val="22"/>
              </w:rPr>
            </w:r>
          </w:p>
          <w:p>
            <w:pPr>
              <w:pStyle w:val="Normal"/>
              <w:rPr>
                <w:b/>
                <w:b/>
                <w:bCs/>
                <w:szCs w:val="22"/>
              </w:rPr>
            </w:pPr>
            <w:r>
              <w:rPr>
                <w:b/>
                <w:bCs/>
                <w:szCs w:val="22"/>
              </w:rPr>
            </w:r>
          </w:p>
          <w:p>
            <w:pPr>
              <w:pStyle w:val="Normal"/>
              <w:rPr>
                <w:b/>
                <w:b/>
                <w:bCs/>
                <w:szCs w:val="22"/>
              </w:rPr>
            </w:pPr>
            <w:r>
              <w:rPr>
                <w:b/>
                <w:bCs/>
                <w:szCs w:val="22"/>
              </w:rPr>
              <w:t>A/I</w:t>
            </w:r>
          </w:p>
          <w:p>
            <w:pPr>
              <w:pStyle w:val="Normal"/>
              <w:spacing w:before="0" w:after="5"/>
              <w:rPr>
                <w:b/>
                <w:b/>
                <w:bCs/>
                <w:szCs w:val="22"/>
              </w:rPr>
            </w:pPr>
            <w:r>
              <w:rPr>
                <w:b/>
                <w:bCs/>
                <w:szCs w:val="22"/>
              </w:rPr>
            </w:r>
          </w:p>
        </w:tc>
      </w:tr>
      <w:tr>
        <w:trPr>
          <w:trHeight w:val="2607" w:hRule="atLeast"/>
        </w:trPr>
        <w:tc>
          <w:tcPr>
            <w:tcW w:w="12616" w:type="dxa"/>
            <w:tcBorders>
              <w:top w:val="single" w:sz="6" w:space="0" w:color="000000"/>
              <w:left w:val="single" w:sz="12" w:space="0" w:color="000000"/>
              <w:bottom w:val="single" w:sz="6" w:space="0" w:color="000000"/>
            </w:tcBorders>
            <w:shd w:fill="auto" w:val="clear"/>
          </w:tcPr>
          <w:p>
            <w:pPr>
              <w:pStyle w:val="Normal"/>
              <w:rPr>
                <w:b/>
                <w:b/>
                <w:bCs/>
                <w:color w:val="7030A0"/>
                <w:szCs w:val="22"/>
              </w:rPr>
            </w:pPr>
            <w:r>
              <w:rPr>
                <w:b/>
                <w:bCs/>
                <w:color w:val="7030A0"/>
                <w:szCs w:val="22"/>
              </w:rPr>
              <w:t>Special requirements</w:t>
            </w:r>
          </w:p>
          <w:p>
            <w:pPr>
              <w:pStyle w:val="Normal"/>
              <w:rPr>
                <w:b/>
                <w:b/>
                <w:bCs/>
                <w:color w:val="7030A0"/>
                <w:szCs w:val="22"/>
              </w:rPr>
            </w:pPr>
            <w:r>
              <w:rPr>
                <w:b/>
                <w:bCs/>
                <w:color w:val="7030A0"/>
                <w:szCs w:val="22"/>
              </w:rPr>
            </w:r>
          </w:p>
          <w:p>
            <w:pPr>
              <w:pStyle w:val="Normal"/>
              <w:rPr>
                <w:b/>
                <w:b/>
                <w:bCs/>
                <w:color w:val="7030A0"/>
                <w:szCs w:val="22"/>
              </w:rPr>
            </w:pPr>
            <w:r>
              <w:rPr>
                <w:b/>
                <w:bCs/>
                <w:color w:val="7030A0"/>
                <w:szCs w:val="22"/>
              </w:rPr>
              <w:t>Candidates: Please note you will be expected to meet these requirements of the role and they will be explored with you at interview.</w:t>
            </w:r>
          </w:p>
          <w:p>
            <w:pPr>
              <w:pStyle w:val="Normal"/>
              <w:rPr>
                <w:b/>
                <w:b/>
                <w:bCs/>
                <w:color w:val="7030A0"/>
                <w:szCs w:val="22"/>
              </w:rPr>
            </w:pPr>
            <w:r>
              <w:rPr>
                <w:b/>
                <w:bCs/>
                <w:color w:val="7030A0"/>
                <w:szCs w:val="22"/>
              </w:rPr>
            </w:r>
          </w:p>
          <w:p>
            <w:pPr>
              <w:pStyle w:val="ListParagraph"/>
              <w:numPr>
                <w:ilvl w:val="0"/>
                <w:numId w:val="4"/>
              </w:numPr>
              <w:spacing w:lineRule="auto" w:line="240" w:before="0" w:after="120"/>
              <w:ind w:left="714" w:right="0" w:hanging="357"/>
              <w:contextualSpacing/>
              <w:rPr>
                <w:rFonts w:ascii="Arial" w:hAnsi="Arial" w:cs="Arial"/>
              </w:rPr>
            </w:pPr>
            <w:r>
              <w:rPr>
                <w:rFonts w:cs="Arial" w:ascii="Arial" w:hAnsi="Arial"/>
              </w:rPr>
              <w:t>Hold a clean driving licence and have access to a vehicle to make site visits, or you will need to put in place suitable alternative travel arrangements to land and buildings (e.g. bicycle).</w:t>
            </w:r>
          </w:p>
        </w:tc>
        <w:tc>
          <w:tcPr>
            <w:tcW w:w="2034" w:type="dxa"/>
            <w:tcBorders>
              <w:top w:val="single" w:sz="6" w:space="0" w:color="000000"/>
              <w:left w:val="single" w:sz="6" w:space="0" w:color="000000"/>
              <w:bottom w:val="single" w:sz="6" w:space="0" w:color="000000"/>
              <w:right w:val="single" w:sz="12" w:space="0" w:color="000000"/>
            </w:tcBorders>
            <w:shd w:fill="auto" w:val="clear"/>
          </w:tcPr>
          <w:p>
            <w:pPr>
              <w:pStyle w:val="Normal"/>
              <w:snapToGrid w:val="false"/>
              <w:rPr>
                <w:b/>
                <w:b/>
                <w:bCs/>
                <w:szCs w:val="22"/>
              </w:rPr>
            </w:pPr>
            <w:r>
              <w:rPr>
                <w:b/>
                <w:bCs/>
                <w:szCs w:val="22"/>
              </w:rPr>
            </w:r>
          </w:p>
          <w:p>
            <w:pPr>
              <w:pStyle w:val="Normal"/>
              <w:rPr>
                <w:b/>
                <w:b/>
                <w:bCs/>
                <w:szCs w:val="22"/>
              </w:rPr>
            </w:pPr>
            <w:r>
              <w:rPr>
                <w:b/>
                <w:bCs/>
                <w:szCs w:val="22"/>
              </w:rPr>
            </w:r>
          </w:p>
          <w:p>
            <w:pPr>
              <w:pStyle w:val="Normal"/>
              <w:rPr>
                <w:b/>
                <w:b/>
                <w:bCs/>
                <w:szCs w:val="22"/>
              </w:rPr>
            </w:pPr>
            <w:r>
              <w:rPr>
                <w:b/>
                <w:bCs/>
                <w:szCs w:val="22"/>
              </w:rPr>
            </w:r>
          </w:p>
          <w:p>
            <w:pPr>
              <w:pStyle w:val="Normal"/>
              <w:rPr>
                <w:b/>
                <w:b/>
                <w:bCs/>
                <w:szCs w:val="22"/>
              </w:rPr>
            </w:pPr>
            <w:r>
              <w:rPr>
                <w:b/>
                <w:bCs/>
                <w:szCs w:val="22"/>
              </w:rPr>
            </w:r>
          </w:p>
          <w:p>
            <w:pPr>
              <w:pStyle w:val="Normal"/>
              <w:rPr>
                <w:b/>
                <w:b/>
                <w:bCs/>
                <w:szCs w:val="22"/>
              </w:rPr>
            </w:pPr>
            <w:r>
              <w:rPr>
                <w:b/>
                <w:bCs/>
                <w:szCs w:val="22"/>
              </w:rPr>
            </w:r>
          </w:p>
          <w:p>
            <w:pPr>
              <w:pStyle w:val="Normal"/>
              <w:rPr>
                <w:b/>
                <w:b/>
                <w:bCs/>
                <w:szCs w:val="22"/>
              </w:rPr>
            </w:pPr>
            <w:r>
              <w:rPr>
                <w:b/>
                <w:bCs/>
                <w:szCs w:val="22"/>
              </w:rPr>
              <w:t>A/I</w:t>
            </w:r>
          </w:p>
          <w:p>
            <w:pPr>
              <w:pStyle w:val="Normal"/>
              <w:spacing w:before="0" w:after="120"/>
              <w:rPr>
                <w:b/>
                <w:b/>
                <w:bCs/>
                <w:szCs w:val="22"/>
              </w:rPr>
            </w:pPr>
            <w:r>
              <w:rPr>
                <w:b/>
                <w:bCs/>
                <w:szCs w:val="22"/>
              </w:rPr>
            </w:r>
          </w:p>
          <w:p>
            <w:pPr>
              <w:pStyle w:val="Normal"/>
              <w:spacing w:before="0" w:after="120"/>
              <w:rPr>
                <w:b/>
                <w:b/>
                <w:bCs/>
                <w:szCs w:val="22"/>
              </w:rPr>
            </w:pPr>
            <w:r>
              <w:rPr>
                <w:b/>
                <w:bCs/>
                <w:szCs w:val="22"/>
              </w:rPr>
            </w:r>
          </w:p>
          <w:p>
            <w:pPr>
              <w:pStyle w:val="Normal"/>
              <w:spacing w:before="0" w:after="5"/>
              <w:rPr>
                <w:b/>
                <w:b/>
                <w:bCs/>
                <w:szCs w:val="22"/>
              </w:rPr>
            </w:pPr>
            <w:r>
              <w:rPr>
                <w:b/>
                <w:bCs/>
                <w:szCs w:val="22"/>
              </w:rPr>
            </w:r>
          </w:p>
        </w:tc>
      </w:tr>
    </w:tbl>
    <w:p>
      <w:pPr>
        <w:pStyle w:val="Normal"/>
        <w:spacing w:lineRule="auto" w:line="256" w:before="0" w:after="0"/>
        <w:ind w:left="0" w:right="0" w:hanging="0"/>
        <w:jc w:val="both"/>
        <w:rPr/>
      </w:pPr>
      <w:r>
        <w:rPr/>
        <w:drawing>
          <wp:anchor behindDoc="1" distT="0" distB="0" distL="114300" distR="114300" simplePos="0" locked="0" layoutInCell="1" allowOverlap="1" relativeHeight="14">
            <wp:simplePos x="0" y="0"/>
            <wp:positionH relativeFrom="page">
              <wp:posOffset>900430</wp:posOffset>
            </wp:positionH>
            <wp:positionV relativeFrom="page">
              <wp:posOffset>273685</wp:posOffset>
            </wp:positionV>
            <wp:extent cx="1002665" cy="501015"/>
            <wp:effectExtent l="0" t="0" r="0" b="0"/>
            <wp:wrapSquare wrapText="bothSides"/>
            <wp:docPr id="4"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3" descr=""/>
                    <pic:cNvPicPr>
                      <a:picLocks noChangeAspect="1" noChangeArrowheads="1"/>
                    </pic:cNvPicPr>
                  </pic:nvPicPr>
                  <pic:blipFill>
                    <a:blip r:embed="rId6"/>
                    <a:srcRect l="-17" t="-35" r="-17" b="-35"/>
                    <a:stretch>
                      <a:fillRect/>
                    </a:stretch>
                  </pic:blipFill>
                  <pic:spPr bwMode="auto">
                    <a:xfrm>
                      <a:off x="0" y="0"/>
                      <a:ext cx="1002665" cy="501015"/>
                    </a:xfrm>
                    <a:prstGeom prst="rect">
                      <a:avLst/>
                    </a:prstGeom>
                  </pic:spPr>
                </pic:pic>
              </a:graphicData>
            </a:graphic>
          </wp:anchor>
        </w:drawing>
      </w:r>
    </w:p>
    <w:sectPr>
      <w:headerReference w:type="default" r:id="rId7"/>
      <w:footerReference w:type="default" r:id="rId8"/>
      <w:type w:val="nextPage"/>
      <w:pgSz w:orient="landscape" w:w="16838" w:h="11906"/>
      <w:pgMar w:left="1418" w:right="3606" w:header="431" w:top="1623" w:footer="431" w:bottom="1293"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1"/>
    <w:family w:val="swiss"/>
    <w:pitch w:val="variable"/>
  </w:font>
  <w:font w:name="Segoe UI Symbol">
    <w:charset w:val="01"/>
    <w:family w:val="swiss"/>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56" w:before="0" w:after="0"/>
      <w:ind w:left="0" w:right="803" w:hanging="0"/>
      <w:jc w:val="center"/>
      <w:rPr/>
    </w:pPr>
    <w:r>
      <w:rPr>
        <w:color w:val="C0C0C0"/>
        <w:sz w:val="20"/>
      </w:rPr>
      <w:t xml:space="preserve">Page </w:t>
    </w:r>
    <w:r>
      <w:rPr>
        <w:color w:val="C0C0C0"/>
        <w:sz w:val="20"/>
      </w:rPr>
      <w:fldChar w:fldCharType="begin"/>
    </w:r>
    <w:r>
      <w:rPr>
        <w:sz w:val="20"/>
      </w:rPr>
      <w:instrText> PAGE </w:instrText>
    </w:r>
    <w:r>
      <w:rPr>
        <w:sz w:val="20"/>
      </w:rPr>
      <w:fldChar w:fldCharType="separate"/>
    </w:r>
    <w:r>
      <w:rPr>
        <w:sz w:val="20"/>
      </w:rPr>
      <w:t>6</w:t>
    </w:r>
    <w:r>
      <w:rPr>
        <w:sz w:val="20"/>
      </w:rPr>
      <w:fldChar w:fldCharType="end"/>
    </w:r>
    <w:r>
      <w:rPr>
        <w:color w:val="C0C0C0"/>
        <w:sz w:val="20"/>
      </w:rPr>
      <w:t xml:space="preserve"> of </w:t>
    </w:r>
    <w:r>
      <w:rPr>
        <w:color w:val="C0C0C0"/>
        <w:sz w:val="20"/>
      </w:rPr>
      <w:fldChar w:fldCharType="begin"/>
    </w:r>
    <w:r>
      <w:rPr>
        <w:sz w:val="20"/>
      </w:rPr>
      <w:instrText> NUMPAGES \* ARABIC </w:instrText>
    </w:r>
    <w:r>
      <w:rPr>
        <w:sz w:val="20"/>
      </w:rPr>
      <w:fldChar w:fldCharType="separate"/>
    </w:r>
    <w:r>
      <w:rPr>
        <w:sz w:val="20"/>
      </w:rPr>
      <w:t>10</w:t>
    </w:r>
    <w:r>
      <w:rPr>
        <w:sz w:val="20"/>
      </w:rPr>
      <w:fldChar w:fldCharType="end"/>
    </w:r>
    <w:r>
      <w:rPr>
        <w:color w:val="C0C0C0"/>
        <w:sz w:val="20"/>
      </w:rPr>
      <w:t xml:space="preserve"> </w:t>
    </w:r>
  </w:p>
  <w:p>
    <w:pPr>
      <w:pStyle w:val="Normal"/>
      <w:spacing w:lineRule="auto" w:line="240" w:before="0" w:after="0"/>
      <w:ind w:left="4761" w:right="1081" w:hanging="0"/>
      <w:jc w:val="right"/>
      <w:rPr>
        <w:color w:val="C0C0C0"/>
        <w:sz w:val="20"/>
      </w:rPr>
    </w:pPr>
    <w:r>
      <w:rPr>
        <w:color w:val="C0C0C0"/>
        <w:sz w:val="20"/>
      </w:rPr>
      <w:t xml:space="preserve">Job Role Profile and Person Specification   Published 02/09/2021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56" w:before="0" w:after="0"/>
      <w:ind w:left="2190" w:right="0" w:hanging="0"/>
      <w:jc w:val="center"/>
      <w:rPr/>
    </w:pPr>
    <w:r>
      <w:rPr>
        <w:color w:val="C0C0C0"/>
        <w:sz w:val="20"/>
      </w:rPr>
      <w:t xml:space="preserve">Page </w:t>
    </w:r>
    <w:r>
      <w:rPr>
        <w:color w:val="C0C0C0"/>
        <w:sz w:val="20"/>
      </w:rPr>
      <w:fldChar w:fldCharType="begin"/>
    </w:r>
    <w:r>
      <w:rPr>
        <w:sz w:val="20"/>
      </w:rPr>
      <w:instrText> PAGE </w:instrText>
    </w:r>
    <w:r>
      <w:rPr>
        <w:sz w:val="20"/>
      </w:rPr>
      <w:fldChar w:fldCharType="separate"/>
    </w:r>
    <w:r>
      <w:rPr>
        <w:sz w:val="20"/>
      </w:rPr>
      <w:t>10</w:t>
    </w:r>
    <w:r>
      <w:rPr>
        <w:sz w:val="20"/>
      </w:rPr>
      <w:fldChar w:fldCharType="end"/>
    </w:r>
    <w:r>
      <w:rPr>
        <w:color w:val="C0C0C0"/>
        <w:sz w:val="20"/>
      </w:rPr>
      <w:t xml:space="preserve"> of </w:t>
    </w:r>
    <w:r>
      <w:rPr>
        <w:color w:val="C0C0C0"/>
        <w:sz w:val="20"/>
      </w:rPr>
      <w:fldChar w:fldCharType="begin"/>
    </w:r>
    <w:r>
      <w:rPr>
        <w:sz w:val="20"/>
      </w:rPr>
      <w:instrText> NUMPAGES \* ARABIC </w:instrText>
    </w:r>
    <w:r>
      <w:rPr>
        <w:sz w:val="20"/>
      </w:rPr>
      <w:fldChar w:fldCharType="separate"/>
    </w:r>
    <w:r>
      <w:rPr>
        <w:sz w:val="20"/>
      </w:rPr>
      <w:t>10</w:t>
    </w:r>
    <w:r>
      <w:rPr>
        <w:sz w:val="20"/>
      </w:rPr>
      <w:fldChar w:fldCharType="end"/>
    </w:r>
    <w:r>
      <w:rPr>
        <w:color w:val="C0C0C0"/>
        <w:sz w:val="20"/>
      </w:rPr>
      <w:t xml:space="preserve"> </w:t>
    </w:r>
  </w:p>
  <w:p>
    <w:pPr>
      <w:pStyle w:val="Normal"/>
      <w:spacing w:lineRule="auto" w:line="235" w:before="0" w:after="0"/>
      <w:ind w:left="12012" w:right="-2193" w:hanging="1688"/>
      <w:rPr>
        <w:color w:val="C0C0C0"/>
        <w:sz w:val="20"/>
      </w:rPr>
    </w:pPr>
    <w:r>
      <w:rPr>
        <w:color w:val="C0C0C0"/>
        <w:sz w:val="20"/>
      </w:rPr>
      <w:t xml:space="preserve">Job Role Profile and Person Specification   Published 02/09/2021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56" w:before="0" w:after="0"/>
      <w:ind w:left="283" w:right="0" w:hanging="0"/>
      <w:rPr>
        <w:b/>
        <w:b/>
        <w:sz w:val="28"/>
      </w:rPr>
    </w:pPr>
    <w:r>
      <w:drawing>
        <wp:anchor behindDoc="1" distT="0" distB="0" distL="114300" distR="114300" simplePos="0" locked="0" layoutInCell="1" allowOverlap="1" relativeHeight="8">
          <wp:simplePos x="0" y="0"/>
          <wp:positionH relativeFrom="page">
            <wp:posOffset>914400</wp:posOffset>
          </wp:positionH>
          <wp:positionV relativeFrom="page">
            <wp:posOffset>273685</wp:posOffset>
          </wp:positionV>
          <wp:extent cx="1002665" cy="501015"/>
          <wp:effectExtent l="0" t="0" r="0" b="0"/>
          <wp:wrapSquare wrapText="bothSides"/>
          <wp:docPr id="2" name="Image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 descr=""/>
                  <pic:cNvPicPr>
                    <a:picLocks noChangeAspect="1" noChangeArrowheads="1"/>
                  </pic:cNvPicPr>
                </pic:nvPicPr>
                <pic:blipFill>
                  <a:blip r:embed="rId1"/>
                  <a:srcRect l="-17" t="-35" r="-17" b="-35"/>
                  <a:stretch>
                    <a:fillRect/>
                  </a:stretch>
                </pic:blipFill>
                <pic:spPr bwMode="auto">
                  <a:xfrm>
                    <a:off x="0" y="0"/>
                    <a:ext cx="1002665" cy="501015"/>
                  </a:xfrm>
                  <a:prstGeom prst="rect">
                    <a:avLst/>
                  </a:prstGeom>
                </pic:spPr>
              </pic:pic>
            </a:graphicData>
          </a:graphic>
        </wp:anchor>
      </w:drawing>
    </w:r>
    <w:r>
      <w:rPr>
        <w:b/>
        <w:sz w:val="28"/>
      </w:rPr>
      <w:t xml:space="preserve"> </w:t>
    </w:r>
    <w:r>
      <w:rPr>
        <w:b/>
        <w:sz w:val="28"/>
      </w:rPr>
      <w:t xml:space="preserve"> </w:t>
    </w:r>
  </w:p>
  <w:p>
    <w:pPr>
      <w:pStyle w:val="Normal"/>
      <w:spacing w:lineRule="auto" w:line="256" w:before="0" w:after="0"/>
      <w:ind w:left="0" w:right="798" w:hanging="0"/>
      <w:jc w:val="center"/>
      <w:rPr/>
    </w:pPr>
    <w:r>
      <w:rPr>
        <w:b/>
        <w:sz w:val="28"/>
      </w:rPr>
      <w:t>Be Bold, Make a Difference, Show you Care</w:t>
    </w:r>
    <w:r>
      <w:rPr>
        <w:rFonts w:eastAsia="Times New Roman" w:cs="Times New Roman" w:ascii="Times New Roman" w:hAnsi="Times New Roman"/>
        <w:sz w:val="24"/>
      </w:rPr>
      <w:t xml:space="preserve"> </w: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lineRule="auto" w:line="256" w:before="0" w:after="0"/>
      <w:ind w:left="0" w:right="0" w:hanging="0"/>
      <w:rPr>
        <w:b/>
        <w:b/>
        <w:sz w:val="28"/>
      </w:rPr>
    </w:pPr>
    <w:r>
      <w:drawing>
        <wp:anchor behindDoc="1" distT="0" distB="0" distL="114300" distR="114300" simplePos="0" locked="0" layoutInCell="1" allowOverlap="1" relativeHeight="12">
          <wp:simplePos x="0" y="0"/>
          <wp:positionH relativeFrom="page">
            <wp:posOffset>900430</wp:posOffset>
          </wp:positionH>
          <wp:positionV relativeFrom="page">
            <wp:posOffset>273685</wp:posOffset>
          </wp:positionV>
          <wp:extent cx="1002665" cy="501015"/>
          <wp:effectExtent l="0" t="0" r="0" b="0"/>
          <wp:wrapSquare wrapText="bothSides"/>
          <wp:docPr id="5" name="Image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pic:cNvPicPr>
                    <a:picLocks noChangeAspect="1" noChangeArrowheads="1"/>
                  </pic:cNvPicPr>
                </pic:nvPicPr>
                <pic:blipFill>
                  <a:blip r:embed="rId1"/>
                  <a:srcRect l="-17" t="-35" r="-17" b="-35"/>
                  <a:stretch>
                    <a:fillRect/>
                  </a:stretch>
                </pic:blipFill>
                <pic:spPr bwMode="auto">
                  <a:xfrm>
                    <a:off x="0" y="0"/>
                    <a:ext cx="1002665" cy="501015"/>
                  </a:xfrm>
                  <a:prstGeom prst="rect">
                    <a:avLst/>
                  </a:prstGeom>
                </pic:spPr>
              </pic:pic>
            </a:graphicData>
          </a:graphic>
        </wp:anchor>
      </w:drawing>
    </w:r>
    <w:r>
      <w:rPr>
        <w:b/>
        <w:sz w:val="28"/>
      </w:rPr>
      <w:t xml:space="preserve"> </w:t>
    </w:r>
    <w:r>
      <w:rPr>
        <w:b/>
        <w:sz w:val="28"/>
      </w:rPr>
      <w:t xml:space="preserve"> </w:t>
    </w:r>
  </w:p>
  <w:p>
    <w:pPr>
      <w:pStyle w:val="Normal"/>
      <w:spacing w:lineRule="auto" w:line="256" w:before="0" w:after="0"/>
      <w:ind w:left="2190" w:right="0" w:hanging="0"/>
      <w:jc w:val="center"/>
      <w:rPr/>
    </w:pPr>
    <w:r>
      <w:rPr>
        <w:b/>
        <w:sz w:val="28"/>
      </w:rPr>
      <w:t>Be Bold, Make a Difference, Show you Care</w:t>
    </w:r>
    <w:r>
      <w:rPr>
        <w:rFonts w:eastAsia="Times New Roman" w:cs="Times New Roman" w:ascii="Times New Roman" w:hAnsi="Times New Roman"/>
        <w:sz w:val="24"/>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decimal"/>
      <w:lvlText w:val="%1."/>
      <w:lvlJc w:val="left"/>
      <w:pPr>
        <w:ind w:left="552" w:hanging="0"/>
      </w:pPr>
      <w:rPr>
        <w:dstrike w:val="false"/>
        <w:strike w:val="false"/>
        <w:vertAlign w:val="baseline"/>
        <w:position w:val="0"/>
        <w:sz w:val="22"/>
        <w:sz w:val="22"/>
        <w:i w:val="false"/>
        <w:u w:val="none" w:color="000000"/>
        <w:b w:val="false"/>
        <w:szCs w:val="22"/>
        <w:rFonts w:eastAsia="Arial" w:cs="Arial"/>
        <w:color w:val="000000"/>
      </w:rPr>
    </w:lvl>
    <w:lvl w:ilvl="1">
      <w:start w:val="1"/>
      <w:numFmt w:val="lowerLetter"/>
      <w:lvlText w:val="%2"/>
      <w:lvlJc w:val="left"/>
      <w:pPr>
        <w:ind w:left="1364" w:hanging="0"/>
      </w:pPr>
      <w:rPr>
        <w:dstrike w:val="false"/>
        <w:strike w:val="false"/>
        <w:vertAlign w:val="baseline"/>
        <w:position w:val="0"/>
        <w:sz w:val="22"/>
        <w:sz w:val="22"/>
        <w:i w:val="false"/>
        <w:u w:val="none" w:color="000000"/>
        <w:b w:val="false"/>
        <w:szCs w:val="22"/>
        <w:rFonts w:eastAsia="Arial" w:cs="Arial"/>
        <w:color w:val="000000"/>
      </w:rPr>
    </w:lvl>
    <w:lvl w:ilvl="2">
      <w:start w:val="1"/>
      <w:numFmt w:val="lowerRoman"/>
      <w:lvlText w:val="%3"/>
      <w:lvlJc w:val="left"/>
      <w:pPr>
        <w:ind w:left="2084" w:hanging="0"/>
      </w:pPr>
      <w:rPr>
        <w:dstrike w:val="false"/>
        <w:strike w:val="false"/>
        <w:vertAlign w:val="baseline"/>
        <w:position w:val="0"/>
        <w:sz w:val="22"/>
        <w:sz w:val="22"/>
        <w:i w:val="false"/>
        <w:u w:val="none" w:color="000000"/>
        <w:b w:val="false"/>
        <w:szCs w:val="22"/>
        <w:rFonts w:eastAsia="Arial" w:cs="Arial"/>
        <w:color w:val="000000"/>
      </w:rPr>
    </w:lvl>
    <w:lvl w:ilvl="3">
      <w:start w:val="1"/>
      <w:numFmt w:val="decimal"/>
      <w:lvlText w:val="%4"/>
      <w:lvlJc w:val="left"/>
      <w:pPr>
        <w:ind w:left="2804" w:hanging="0"/>
      </w:pPr>
      <w:rPr>
        <w:dstrike w:val="false"/>
        <w:strike w:val="false"/>
        <w:vertAlign w:val="baseline"/>
        <w:position w:val="0"/>
        <w:sz w:val="22"/>
        <w:sz w:val="22"/>
        <w:i w:val="false"/>
        <w:u w:val="none" w:color="000000"/>
        <w:b w:val="false"/>
        <w:szCs w:val="22"/>
        <w:rFonts w:eastAsia="Arial" w:cs="Arial"/>
        <w:color w:val="000000"/>
      </w:rPr>
    </w:lvl>
    <w:lvl w:ilvl="4">
      <w:start w:val="1"/>
      <w:numFmt w:val="lowerLetter"/>
      <w:lvlText w:val="%5"/>
      <w:lvlJc w:val="left"/>
      <w:pPr>
        <w:ind w:left="3524" w:hanging="0"/>
      </w:pPr>
      <w:rPr>
        <w:dstrike w:val="false"/>
        <w:strike w:val="false"/>
        <w:vertAlign w:val="baseline"/>
        <w:position w:val="0"/>
        <w:sz w:val="22"/>
        <w:sz w:val="22"/>
        <w:i w:val="false"/>
        <w:u w:val="none" w:color="000000"/>
        <w:b w:val="false"/>
        <w:szCs w:val="22"/>
        <w:rFonts w:eastAsia="Arial" w:cs="Arial"/>
        <w:color w:val="000000"/>
      </w:rPr>
    </w:lvl>
    <w:lvl w:ilvl="5">
      <w:start w:val="1"/>
      <w:numFmt w:val="lowerRoman"/>
      <w:lvlText w:val="%6"/>
      <w:lvlJc w:val="left"/>
      <w:pPr>
        <w:ind w:left="4244" w:hanging="0"/>
      </w:pPr>
      <w:rPr>
        <w:dstrike w:val="false"/>
        <w:strike w:val="false"/>
        <w:vertAlign w:val="baseline"/>
        <w:position w:val="0"/>
        <w:sz w:val="22"/>
        <w:sz w:val="22"/>
        <w:i w:val="false"/>
        <w:u w:val="none" w:color="000000"/>
        <w:b w:val="false"/>
        <w:szCs w:val="22"/>
        <w:rFonts w:eastAsia="Arial" w:cs="Arial"/>
        <w:color w:val="000000"/>
      </w:rPr>
    </w:lvl>
    <w:lvl w:ilvl="6">
      <w:start w:val="1"/>
      <w:numFmt w:val="decimal"/>
      <w:lvlText w:val="%7"/>
      <w:lvlJc w:val="left"/>
      <w:pPr>
        <w:ind w:left="4964" w:hanging="0"/>
      </w:pPr>
      <w:rPr>
        <w:dstrike w:val="false"/>
        <w:strike w:val="false"/>
        <w:vertAlign w:val="baseline"/>
        <w:position w:val="0"/>
        <w:sz w:val="22"/>
        <w:sz w:val="22"/>
        <w:i w:val="false"/>
        <w:u w:val="none" w:color="000000"/>
        <w:b w:val="false"/>
        <w:szCs w:val="22"/>
        <w:rFonts w:eastAsia="Arial" w:cs="Arial"/>
        <w:color w:val="000000"/>
      </w:rPr>
    </w:lvl>
    <w:lvl w:ilvl="7">
      <w:start w:val="1"/>
      <w:numFmt w:val="lowerLetter"/>
      <w:lvlText w:val="%8"/>
      <w:lvlJc w:val="left"/>
      <w:pPr>
        <w:ind w:left="5684" w:hanging="0"/>
      </w:pPr>
      <w:rPr>
        <w:dstrike w:val="false"/>
        <w:strike w:val="false"/>
        <w:vertAlign w:val="baseline"/>
        <w:position w:val="0"/>
        <w:sz w:val="22"/>
        <w:sz w:val="22"/>
        <w:i w:val="false"/>
        <w:u w:val="none" w:color="000000"/>
        <w:b w:val="false"/>
        <w:szCs w:val="22"/>
        <w:rFonts w:eastAsia="Arial" w:cs="Arial"/>
        <w:color w:val="000000"/>
      </w:rPr>
    </w:lvl>
    <w:lvl w:ilvl="8">
      <w:start w:val="1"/>
      <w:numFmt w:val="lowerRoman"/>
      <w:lvlText w:val="%9"/>
      <w:lvlJc w:val="left"/>
      <w:pPr>
        <w:ind w:left="6404" w:hanging="0"/>
      </w:pPr>
      <w:rPr>
        <w:dstrike w:val="false"/>
        <w:strike w:val="false"/>
        <w:vertAlign w:val="baseline"/>
        <w:position w:val="0"/>
        <w:sz w:val="22"/>
        <w:sz w:val="22"/>
        <w:i w:val="false"/>
        <w:u w:val="none" w:color="000000"/>
        <w:b w:val="false"/>
        <w:szCs w:val="22"/>
        <w:rFonts w:eastAsia="Arial" w:cs="Arial"/>
        <w:color w:val="000000"/>
      </w:rPr>
    </w:lvl>
  </w:abstractNum>
  <w:abstractNum w:abstractNumId="3">
    <w:lvl w:ilvl="0">
      <w:start w:val="1"/>
      <w:numFmt w:val="decimal"/>
      <w:lvlText w:val="%1."/>
      <w:lvlJc w:val="left"/>
      <w:pPr>
        <w:ind w:left="989" w:hanging="0"/>
      </w:pPr>
      <w:rPr>
        <w:dstrike w:val="false"/>
        <w:strike w:val="false"/>
        <w:vertAlign w:val="baseline"/>
        <w:position w:val="0"/>
        <w:sz w:val="22"/>
        <w:sz w:val="22"/>
        <w:i w:val="false"/>
        <w:u w:val="none" w:color="000000"/>
        <w:b w:val="false"/>
        <w:szCs w:val="22"/>
        <w:rFonts w:eastAsia="Arial" w:cs="Arial"/>
        <w:color w:val="000000"/>
      </w:rPr>
    </w:lvl>
    <w:lvl w:ilvl="1">
      <w:start w:val="1"/>
      <w:numFmt w:val="bullet"/>
      <w:lvlText w:val="•"/>
      <w:lvlJc w:val="left"/>
      <w:pPr>
        <w:ind w:left="1004" w:hanging="0"/>
      </w:pPr>
      <w:rPr>
        <w:rFonts w:ascii="Arial" w:hAnsi="Arial" w:cs="Arial" w:hint="default"/>
        <w:dstrike w:val="false"/>
        <w:strike w:val="false"/>
        <w:vertAlign w:val="baseline"/>
        <w:position w:val="0"/>
        <w:sz w:val="22"/>
        <w:sz w:val="22"/>
        <w:i w:val="false"/>
        <w:u w:val="none" w:color="000000"/>
        <w:b w:val="false"/>
        <w:szCs w:val="22"/>
        <w:rFonts w:cs="Arial"/>
        <w:color w:val="000000"/>
      </w:rPr>
    </w:lvl>
    <w:lvl w:ilvl="2">
      <w:start w:val="1"/>
      <w:numFmt w:val="bullet"/>
      <w:lvlText w:val="▪"/>
      <w:lvlJc w:val="left"/>
      <w:pPr>
        <w:ind w:left="1440" w:hanging="0"/>
      </w:pPr>
      <w:rPr>
        <w:rFonts w:ascii="Segoe UI Symbol" w:hAnsi="Segoe UI Symbol" w:cs="Segoe UI Symbol" w:hint="default"/>
        <w:dstrike w:val="false"/>
        <w:strike w:val="false"/>
        <w:vertAlign w:val="baseline"/>
        <w:position w:val="0"/>
        <w:sz w:val="22"/>
        <w:sz w:val="22"/>
        <w:i w:val="false"/>
        <w:u w:val="none" w:color="000000"/>
        <w:b w:val="false"/>
        <w:szCs w:val="22"/>
        <w:rFonts w:cs="Segoe UI Symbol"/>
        <w:color w:val="000000"/>
      </w:rPr>
    </w:lvl>
    <w:lvl w:ilvl="3">
      <w:start w:val="1"/>
      <w:numFmt w:val="bullet"/>
      <w:lvlText w:val="•"/>
      <w:lvlJc w:val="left"/>
      <w:pPr>
        <w:ind w:left="2160" w:hanging="0"/>
      </w:pPr>
      <w:rPr>
        <w:rFonts w:ascii="Arial" w:hAnsi="Arial" w:cs="Arial" w:hint="default"/>
        <w:dstrike w:val="false"/>
        <w:strike w:val="false"/>
        <w:vertAlign w:val="baseline"/>
        <w:position w:val="0"/>
        <w:sz w:val="22"/>
        <w:sz w:val="22"/>
        <w:i w:val="false"/>
        <w:u w:val="none" w:color="000000"/>
        <w:b w:val="false"/>
        <w:szCs w:val="22"/>
        <w:rFonts w:cs="Arial"/>
        <w:color w:val="000000"/>
      </w:rPr>
    </w:lvl>
    <w:lvl w:ilvl="4">
      <w:start w:val="1"/>
      <w:numFmt w:val="bullet"/>
      <w:lvlText w:val="o"/>
      <w:lvlJc w:val="left"/>
      <w:pPr>
        <w:ind w:left="2880" w:hanging="0"/>
      </w:pPr>
      <w:rPr>
        <w:rFonts w:ascii="Segoe UI Symbol" w:hAnsi="Segoe UI Symbol" w:cs="Segoe UI Symbol" w:hint="default"/>
        <w:dstrike w:val="false"/>
        <w:strike w:val="false"/>
        <w:vertAlign w:val="baseline"/>
        <w:position w:val="0"/>
        <w:sz w:val="22"/>
        <w:sz w:val="22"/>
        <w:i w:val="false"/>
        <w:u w:val="none" w:color="000000"/>
        <w:b w:val="false"/>
        <w:szCs w:val="22"/>
        <w:rFonts w:cs="Segoe UI Symbol"/>
        <w:color w:val="000000"/>
      </w:rPr>
    </w:lvl>
    <w:lvl w:ilvl="5">
      <w:start w:val="1"/>
      <w:numFmt w:val="bullet"/>
      <w:lvlText w:val="▪"/>
      <w:lvlJc w:val="left"/>
      <w:pPr>
        <w:ind w:left="3600" w:hanging="0"/>
      </w:pPr>
      <w:rPr>
        <w:rFonts w:ascii="Segoe UI Symbol" w:hAnsi="Segoe UI Symbol" w:cs="Segoe UI Symbol" w:hint="default"/>
        <w:dstrike w:val="false"/>
        <w:strike w:val="false"/>
        <w:vertAlign w:val="baseline"/>
        <w:position w:val="0"/>
        <w:sz w:val="22"/>
        <w:sz w:val="22"/>
        <w:i w:val="false"/>
        <w:u w:val="none" w:color="000000"/>
        <w:b w:val="false"/>
        <w:szCs w:val="22"/>
        <w:rFonts w:cs="Segoe UI Symbol"/>
        <w:color w:val="000000"/>
      </w:rPr>
    </w:lvl>
    <w:lvl w:ilvl="6">
      <w:start w:val="1"/>
      <w:numFmt w:val="bullet"/>
      <w:lvlText w:val="•"/>
      <w:lvlJc w:val="left"/>
      <w:pPr>
        <w:ind w:left="4320" w:hanging="0"/>
      </w:pPr>
      <w:rPr>
        <w:rFonts w:ascii="Arial" w:hAnsi="Arial" w:cs="Arial" w:hint="default"/>
        <w:dstrike w:val="false"/>
        <w:strike w:val="false"/>
        <w:vertAlign w:val="baseline"/>
        <w:position w:val="0"/>
        <w:sz w:val="22"/>
        <w:sz w:val="22"/>
        <w:i w:val="false"/>
        <w:u w:val="none" w:color="000000"/>
        <w:b w:val="false"/>
        <w:szCs w:val="22"/>
        <w:rFonts w:cs="Arial"/>
        <w:color w:val="000000"/>
      </w:rPr>
    </w:lvl>
    <w:lvl w:ilvl="7">
      <w:start w:val="1"/>
      <w:numFmt w:val="bullet"/>
      <w:lvlText w:val="o"/>
      <w:lvlJc w:val="left"/>
      <w:pPr>
        <w:ind w:left="5040" w:hanging="0"/>
      </w:pPr>
      <w:rPr>
        <w:rFonts w:ascii="Segoe UI Symbol" w:hAnsi="Segoe UI Symbol" w:cs="Segoe UI Symbol" w:hint="default"/>
        <w:dstrike w:val="false"/>
        <w:strike w:val="false"/>
        <w:vertAlign w:val="baseline"/>
        <w:position w:val="0"/>
        <w:sz w:val="22"/>
        <w:sz w:val="22"/>
        <w:i w:val="false"/>
        <w:u w:val="none" w:color="000000"/>
        <w:b w:val="false"/>
        <w:szCs w:val="22"/>
        <w:rFonts w:cs="Segoe UI Symbol"/>
        <w:color w:val="000000"/>
      </w:rPr>
    </w:lvl>
    <w:lvl w:ilvl="8">
      <w:start w:val="1"/>
      <w:numFmt w:val="bullet"/>
      <w:lvlText w:val="▪"/>
      <w:lvlJc w:val="left"/>
      <w:pPr>
        <w:ind w:left="5760" w:hanging="0"/>
      </w:pPr>
      <w:rPr>
        <w:rFonts w:ascii="Segoe UI Symbol" w:hAnsi="Segoe UI Symbol" w:cs="Segoe UI Symbol" w:hint="default"/>
        <w:dstrike w:val="false"/>
        <w:strike w:val="false"/>
        <w:vertAlign w:val="baseline"/>
        <w:position w:val="0"/>
        <w:sz w:val="22"/>
        <w:sz w:val="22"/>
        <w:i w:val="false"/>
        <w:u w:val="none" w:color="000000"/>
        <w:b w:val="false"/>
        <w:szCs w:val="22"/>
        <w:rFonts w:cs="Segoe UI Symbol"/>
        <w:color w:val="000000"/>
      </w:rPr>
    </w:lvl>
  </w:abstractNum>
  <w:abstractNum w:abstractNumId="4">
    <w:lvl w:ilvl="0">
      <w:start w:val="1"/>
      <w:numFmt w:val="decimal"/>
      <w:lvlText w:val="%1."/>
      <w:lvlJc w:val="left"/>
      <w:pPr>
        <w:ind w:left="720" w:hanging="360"/>
      </w:pPr>
      <w:rPr>
        <w:b/>
        <w:bCs/>
        <w:rFonts w:ascii="Arial" w:hAnsi="Arial" w:cs="Arial"/>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670" w:hanging="360"/>
      </w:pPr>
      <w:rPr/>
    </w:lvl>
    <w:lvl w:ilvl="1">
      <w:start w:val="1"/>
      <w:numFmt w:val="lowerLetter"/>
      <w:lvlText w:val="%2."/>
      <w:lvlJc w:val="left"/>
      <w:pPr>
        <w:ind w:left="1390" w:hanging="360"/>
      </w:pPr>
      <w:rPr/>
    </w:lvl>
    <w:lvl w:ilvl="2">
      <w:start w:val="1"/>
      <w:numFmt w:val="lowerRoman"/>
      <w:lvlText w:val="%3."/>
      <w:lvlJc w:val="right"/>
      <w:pPr>
        <w:ind w:left="2110" w:hanging="180"/>
      </w:pPr>
      <w:rPr/>
    </w:lvl>
    <w:lvl w:ilvl="3">
      <w:start w:val="1"/>
      <w:numFmt w:val="decimal"/>
      <w:lvlText w:val="%4."/>
      <w:lvlJc w:val="left"/>
      <w:pPr>
        <w:ind w:left="2830" w:hanging="360"/>
      </w:pPr>
      <w:rPr/>
    </w:lvl>
    <w:lvl w:ilvl="4">
      <w:start w:val="1"/>
      <w:numFmt w:val="lowerLetter"/>
      <w:lvlText w:val="%5."/>
      <w:lvlJc w:val="left"/>
      <w:pPr>
        <w:ind w:left="3550" w:hanging="360"/>
      </w:pPr>
      <w:rPr/>
    </w:lvl>
    <w:lvl w:ilvl="5">
      <w:start w:val="1"/>
      <w:numFmt w:val="lowerRoman"/>
      <w:lvlText w:val="%6."/>
      <w:lvlJc w:val="right"/>
      <w:pPr>
        <w:ind w:left="4270" w:hanging="180"/>
      </w:pPr>
      <w:rPr/>
    </w:lvl>
    <w:lvl w:ilvl="6">
      <w:start w:val="1"/>
      <w:numFmt w:val="decimal"/>
      <w:lvlText w:val="%7."/>
      <w:lvlJc w:val="left"/>
      <w:pPr>
        <w:ind w:left="4990" w:hanging="360"/>
      </w:pPr>
      <w:rPr/>
    </w:lvl>
    <w:lvl w:ilvl="7">
      <w:start w:val="1"/>
      <w:numFmt w:val="lowerLetter"/>
      <w:lvlText w:val="%8."/>
      <w:lvlJc w:val="left"/>
      <w:pPr>
        <w:ind w:left="5710" w:hanging="360"/>
      </w:pPr>
      <w:rPr/>
    </w:lvl>
    <w:lvl w:ilvl="8">
      <w:start w:val="1"/>
      <w:numFmt w:val="lowerRoman"/>
      <w:lvlText w:val="%9."/>
      <w:lvlJc w:val="right"/>
      <w:pPr>
        <w:ind w:left="6430" w:hanging="180"/>
      </w:pPr>
      <w:rPr/>
    </w:lvl>
  </w:abstractNum>
  <w:abstractNum w:abstractNumId="7">
    <w:lvl w:ilvl="0">
      <w:start w:val="10"/>
      <w:numFmt w:val="decimal"/>
      <w:lvlText w:val="%1."/>
      <w:lvlJc w:val="left"/>
      <w:pPr>
        <w:ind w:left="670" w:hanging="360"/>
      </w:pPr>
      <w:rPr/>
    </w:lvl>
    <w:lvl w:ilvl="1">
      <w:start w:val="1"/>
      <w:numFmt w:val="lowerLetter"/>
      <w:lvlText w:val="%2."/>
      <w:lvlJc w:val="left"/>
      <w:pPr>
        <w:ind w:left="1390" w:hanging="360"/>
      </w:pPr>
      <w:rPr/>
    </w:lvl>
    <w:lvl w:ilvl="2">
      <w:start w:val="1"/>
      <w:numFmt w:val="lowerRoman"/>
      <w:lvlText w:val="%3."/>
      <w:lvlJc w:val="right"/>
      <w:pPr>
        <w:ind w:left="2110" w:hanging="180"/>
      </w:pPr>
      <w:rPr/>
    </w:lvl>
    <w:lvl w:ilvl="3">
      <w:start w:val="1"/>
      <w:numFmt w:val="decimal"/>
      <w:lvlText w:val="%4."/>
      <w:lvlJc w:val="left"/>
      <w:pPr>
        <w:ind w:left="2830" w:hanging="360"/>
      </w:pPr>
      <w:rPr/>
    </w:lvl>
    <w:lvl w:ilvl="4">
      <w:start w:val="1"/>
      <w:numFmt w:val="lowerLetter"/>
      <w:lvlText w:val="%5."/>
      <w:lvlJc w:val="left"/>
      <w:pPr>
        <w:ind w:left="3550" w:hanging="360"/>
      </w:pPr>
      <w:rPr/>
    </w:lvl>
    <w:lvl w:ilvl="5">
      <w:start w:val="1"/>
      <w:numFmt w:val="lowerRoman"/>
      <w:lvlText w:val="%6."/>
      <w:lvlJc w:val="right"/>
      <w:pPr>
        <w:ind w:left="4270" w:hanging="180"/>
      </w:pPr>
      <w:rPr/>
    </w:lvl>
    <w:lvl w:ilvl="6">
      <w:start w:val="1"/>
      <w:numFmt w:val="decimal"/>
      <w:lvlText w:val="%7."/>
      <w:lvlJc w:val="left"/>
      <w:pPr>
        <w:ind w:left="4990" w:hanging="360"/>
      </w:pPr>
      <w:rPr/>
    </w:lvl>
    <w:lvl w:ilvl="7">
      <w:start w:val="1"/>
      <w:numFmt w:val="lowerLetter"/>
      <w:lvlText w:val="%8."/>
      <w:lvlJc w:val="left"/>
      <w:pPr>
        <w:ind w:left="5710" w:hanging="360"/>
      </w:pPr>
      <w:rPr/>
    </w:lvl>
    <w:lvl w:ilvl="8">
      <w:start w:val="1"/>
      <w:numFmt w:val="lowerRoman"/>
      <w:lvlText w:val="%9."/>
      <w:lvlJc w:val="right"/>
      <w:pPr>
        <w:ind w:left="643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4" w:before="0" w:after="5"/>
      <w:ind w:left="294" w:right="0" w:hanging="10"/>
      <w:jc w:val="left"/>
    </w:pPr>
    <w:rPr>
      <w:rFonts w:ascii="Arial" w:hAnsi="Arial" w:eastAsia="Arial" w:cs="Arial"/>
      <w:color w:val="000000"/>
      <w:kern w:val="2"/>
      <w:sz w:val="22"/>
      <w:szCs w:val="24"/>
      <w:lang w:val="en-GB" w:eastAsia="en-GB" w:bidi="ar-SA"/>
    </w:rPr>
  </w:style>
  <w:style w:type="paragraph" w:styleId="Heading1">
    <w:name w:val="Heading 1"/>
    <w:next w:val="Normal"/>
    <w:qFormat/>
    <w:pPr>
      <w:keepNext w:val="true"/>
      <w:keepLines/>
      <w:widowControl/>
      <w:numPr>
        <w:ilvl w:val="0"/>
        <w:numId w:val="1"/>
      </w:numPr>
      <w:pBdr>
        <w:top w:val="single" w:sz="4" w:space="0" w:color="000000"/>
        <w:left w:val="single" w:sz="4" w:space="0" w:color="000000"/>
        <w:bottom w:val="single" w:sz="4" w:space="0" w:color="000000"/>
        <w:right w:val="single" w:sz="4" w:space="0" w:color="000000"/>
      </w:pBdr>
      <w:shd w:fill="CCCCCC" w:val="clear"/>
      <w:suppressAutoHyphens w:val="true"/>
      <w:bidi w:val="0"/>
      <w:spacing w:lineRule="auto" w:line="256" w:before="0" w:after="0"/>
      <w:ind w:left="2185" w:right="0" w:hanging="0"/>
      <w:jc w:val="center"/>
      <w:outlineLvl w:val="0"/>
    </w:pPr>
    <w:rPr>
      <w:rFonts w:ascii="Arial" w:hAnsi="Arial" w:eastAsia="Arial" w:cs="Arial"/>
      <w:b/>
      <w:color w:val="7030A0"/>
      <w:kern w:val="2"/>
      <w:sz w:val="28"/>
      <w:szCs w:val="24"/>
      <w:lang w:val="en-GB" w:eastAsia="en-GB" w:bidi="ar-SA"/>
    </w:rPr>
  </w:style>
  <w:style w:type="character" w:styleId="WW8Num1z0">
    <w:name w:val="WW8Num1z0"/>
    <w:qFormat/>
    <w:rPr>
      <w:rFonts w:eastAsia="Arial" w:cs="Arial"/>
      <w:b w:val="false"/>
      <w:i w:val="false"/>
      <w:strike w:val="false"/>
      <w:dstrike w:val="false"/>
      <w:color w:val="000000"/>
      <w:position w:val="0"/>
      <w:sz w:val="22"/>
      <w:sz w:val="22"/>
      <w:szCs w:val="22"/>
      <w:u w:val="none" w:color="000000"/>
      <w:vertAlign w:val="baseline"/>
    </w:rPr>
  </w:style>
  <w:style w:type="character" w:styleId="WW8Num2z0">
    <w:name w:val="WW8Num2z0"/>
    <w:qFormat/>
    <w:rPr>
      <w:rFonts w:eastAsia="Arial" w:cs="Arial"/>
      <w:b w:val="false"/>
      <w:i w:val="false"/>
      <w:strike w:val="false"/>
      <w:dstrike w:val="false"/>
      <w:color w:val="000000"/>
      <w:position w:val="0"/>
      <w:sz w:val="22"/>
      <w:sz w:val="22"/>
      <w:szCs w:val="22"/>
      <w:u w:val="none" w:color="000000"/>
      <w:vertAlign w:val="baseline"/>
    </w:rPr>
  </w:style>
  <w:style w:type="character" w:styleId="WW8Num2z1">
    <w:name w:val="WW8Num2z1"/>
    <w:qFormat/>
    <w:rPr>
      <w:rFonts w:ascii="Arial" w:hAnsi="Arial" w:cs="Arial"/>
      <w:b w:val="false"/>
      <w:i w:val="false"/>
      <w:strike w:val="false"/>
      <w:dstrike w:val="false"/>
      <w:color w:val="000000"/>
      <w:position w:val="0"/>
      <w:sz w:val="22"/>
      <w:sz w:val="22"/>
      <w:szCs w:val="22"/>
      <w:u w:val="none" w:color="000000"/>
      <w:vertAlign w:val="baseline"/>
    </w:rPr>
  </w:style>
  <w:style w:type="character" w:styleId="WW8Num2z2">
    <w:name w:val="WW8Num2z2"/>
    <w:qFormat/>
    <w:rPr>
      <w:rFonts w:ascii="Segoe UI Symbol" w:hAnsi="Segoe UI Symbol" w:cs="Segoe UI Symbol"/>
      <w:b w:val="false"/>
      <w:i w:val="false"/>
      <w:strike w:val="false"/>
      <w:dstrike w:val="false"/>
      <w:color w:val="000000"/>
      <w:position w:val="0"/>
      <w:sz w:val="22"/>
      <w:sz w:val="22"/>
      <w:szCs w:val="22"/>
      <w:u w:val="none" w:color="000000"/>
      <w:vertAlign w:val="baseline"/>
    </w:rPr>
  </w:style>
  <w:style w:type="character" w:styleId="WW8Num3z0">
    <w:name w:val="WW8Num3z0"/>
    <w:qFormat/>
    <w:rPr>
      <w:rFonts w:ascii="Arial" w:hAnsi="Arial" w:cs="Arial"/>
      <w:b/>
      <w:bCs/>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style>
  <w:style w:type="character" w:styleId="WW8Num6z1">
    <w:name w:val="WW8Num6z1"/>
    <w:qFormat/>
    <w:rPr/>
  </w:style>
  <w:style w:type="character" w:styleId="WW8Num6z2">
    <w:name w:val="WW8Num6z2"/>
    <w:qFormat/>
    <w:rPr/>
  </w:style>
  <w:style w:type="character" w:styleId="WW8Num6z3">
    <w:name w:val="WW8Num6z3"/>
    <w:qFormat/>
    <w:rPr/>
  </w:style>
  <w:style w:type="character" w:styleId="WW8Num6z4">
    <w:name w:val="WW8Num6z4"/>
    <w:qFormat/>
    <w:rPr/>
  </w:style>
  <w:style w:type="character" w:styleId="WW8Num6z5">
    <w:name w:val="WW8Num6z5"/>
    <w:qFormat/>
    <w:rPr/>
  </w:style>
  <w:style w:type="character" w:styleId="WW8Num6z6">
    <w:name w:val="WW8Num6z6"/>
    <w:qFormat/>
    <w:rPr/>
  </w:style>
  <w:style w:type="character" w:styleId="WW8Num6z7">
    <w:name w:val="WW8Num6z7"/>
    <w:qFormat/>
    <w:rPr/>
  </w:style>
  <w:style w:type="character" w:styleId="WW8Num6z8">
    <w:name w:val="WW8Num6z8"/>
    <w:qFormat/>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DefaultParagraphFont">
    <w:name w:val="Default Paragraph Font"/>
    <w:qFormat/>
    <w:rPr/>
  </w:style>
  <w:style w:type="character" w:styleId="Heading1Char">
    <w:name w:val="Heading 1 Char"/>
    <w:qFormat/>
    <w:rPr>
      <w:rFonts w:ascii="Arial" w:hAnsi="Arial" w:eastAsia="Arial" w:cs="Arial"/>
      <w:b/>
      <w:color w:val="7030A0"/>
      <w:sz w:val="28"/>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ListParagraph">
    <w:name w:val="List Paragraph"/>
    <w:basedOn w:val="Normal"/>
    <w:qFormat/>
    <w:pPr>
      <w:spacing w:lineRule="auto" w:line="256" w:before="0" w:after="160"/>
      <w:ind w:left="720" w:right="0" w:hanging="0"/>
      <w:contextualSpacing/>
    </w:pPr>
    <w:rPr>
      <w:rFonts w:ascii="Calibri" w:hAnsi="Calibri" w:eastAsia="Calibri" w:cs="Times New Roman"/>
      <w:color w:val="auto"/>
      <w:kern w:val="0"/>
      <w:szCs w:val="22"/>
      <w:lang w:eastAsia="en-US"/>
    </w:rPr>
  </w:style>
  <w:style w:type="paragraph" w:styleId="NormalWeb">
    <w:name w:val="Normal (Web)"/>
    <w:basedOn w:val="Normal"/>
    <w:qFormat/>
    <w:pPr>
      <w:spacing w:lineRule="auto" w:line="240" w:before="280" w:after="280"/>
      <w:ind w:left="0" w:right="0" w:hanging="0"/>
    </w:pPr>
    <w:rPr>
      <w:rFonts w:ascii="Times New Roman" w:hAnsi="Times New Roman" w:eastAsia="Times New Roman" w:cs="Times New Roman"/>
      <w:color w:val="auto"/>
      <w:kern w:val="0"/>
      <w:sz w:val="24"/>
    </w:rPr>
  </w:style>
  <w:style w:type="paragraph" w:styleId="HeaderandFooter">
    <w:name w:val="Header and Footer"/>
    <w:basedOn w:val="Normal"/>
    <w:qFormat/>
    <w:pPr/>
    <w:rPr/>
  </w:style>
  <w:style w:type="paragraph" w:styleId="Header">
    <w:name w:val="Header"/>
    <w:basedOn w:val="HeaderandFooter"/>
    <w:pPr/>
    <w:rPr/>
  </w:style>
  <w:style w:type="paragraph" w:styleId="Footer">
    <w:name w:val="Footer"/>
    <w:basedOn w:val="HeaderandFooter"/>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image" Target="media/image3.jpeg"/><Relationship Id="rId6" Type="http://schemas.openxmlformats.org/officeDocument/2006/relationships/image" Target="media/image4.jpeg"/><Relationship Id="rId7" Type="http://schemas.openxmlformats.org/officeDocument/2006/relationships/header" Target="header2.xml"/><Relationship Id="rId8" Type="http://schemas.openxmlformats.org/officeDocument/2006/relationships/footer" Target="footer2.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jpeg"/>
</Relationships>
</file>

<file path=word/_rels/header2.xml.rels><?xml version="1.0" encoding="UTF-8"?>
<Relationships xmlns="http://schemas.openxmlformats.org/package/2006/relationships"><Relationship Id="rId1" Type="http://schemas.openxmlformats.org/officeDocument/2006/relationships/image" Target="media/image5.jpeg"/>
</Relationships>
</file>

<file path=docProps/app.xml><?xml version="1.0" encoding="utf-8"?>
<Properties xmlns="http://schemas.openxmlformats.org/officeDocument/2006/extended-properties" xmlns:vt="http://schemas.openxmlformats.org/officeDocument/2006/docPropsVTypes">
  <Template>Normal</Template>
  <TotalTime>28</TotalTime>
  <Application>LibreOffice/6.3.4.2$Windows_X86_64 LibreOffice_project/60da17e045e08f1793c57c00ba83cdfce946d0aa</Application>
  <Company>Enfield Council</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2025-12-10T17:28:00Z</dcterms:created>
  <dc:creator>Andy Kingsbury</dc:creator>
  <dc:description/>
  <dc:language>en-US</dc:language>
  <cp:lastModifiedBy>Andy Kingsbury</cp:lastModifiedBy>
  <cp:lastPrinted>1995-11-21T17:41:00Z</cp:lastPrinted>
  <dcterms:modified xsi:type="dcterms:W3CDTF">2025-12-11T10:17:00Z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Enfield Council</vt:lpwstr>
  </property>
  <property fmtid="{D5CDD505-2E9C-101B-9397-08002B2CF9AE}" pid="4" name="ContentTypeId">
    <vt:lpwstr>0x0101000E1680273FBBA9469F10FD4A65B717BD</vt:lpwstr>
  </property>
  <property fmtid="{D5CDD505-2E9C-101B-9397-08002B2CF9AE}" pid="5" name="DocSecurity">
    <vt:i4>0</vt:i4>
  </property>
  <property fmtid="{D5CDD505-2E9C-101B-9397-08002B2CF9AE}" pid="6" name="HyperlinksChanged">
    <vt:bool>0</vt:bool>
  </property>
  <property fmtid="{D5CDD505-2E9C-101B-9397-08002B2CF9AE}" pid="7" name="LinksUpToDate">
    <vt:bool>0</vt:bool>
  </property>
  <property fmtid="{D5CDD505-2E9C-101B-9397-08002B2CF9AE}" pid="8" name="ScaleCrop">
    <vt:bool>0</vt:bool>
  </property>
  <property fmtid="{D5CDD505-2E9C-101B-9397-08002B2CF9AE}" pid="9" name="ShareDoc">
    <vt:bool>0</vt:bool>
  </property>
</Properties>
</file>