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inline distT="0" distB="0" distL="0" distR="0">
            <wp:extent cx="1009650" cy="504825"/>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rcRect l="-3" t="-6" r="-3" b="-6"/>
                    <a:stretch>
                      <a:fillRect/>
                    </a:stretch>
                  </pic:blipFill>
                  <pic:spPr bwMode="auto">
                    <a:xfrm>
                      <a:off x="0" y="0"/>
                      <a:ext cx="1009650" cy="504825"/>
                    </a:xfrm>
                    <a:prstGeom prst="rect">
                      <a:avLst/>
                    </a:prstGeom>
                  </pic:spPr>
                </pic:pic>
              </a:graphicData>
            </a:graphic>
          </wp:inline>
        </w:drawing>
      </w:r>
      <w:r>
        <w:rPr>
          <w:lang w:eastAsia="en-GB"/>
        </w:rPr>
        <w:t xml:space="preserve">              </w:t>
      </w:r>
    </w:p>
    <w:p>
      <w:pPr>
        <w:pStyle w:val="Normal"/>
        <w:jc w:val="center"/>
        <w:rPr>
          <w:rFonts w:ascii="Arial Black" w:hAnsi="Arial Black" w:cs="Arial Black"/>
          <w:b/>
          <w:b/>
          <w:bCs/>
          <w:sz w:val="28"/>
          <w:szCs w:val="22"/>
          <w:lang w:eastAsia="en-GB"/>
        </w:rPr>
      </w:pPr>
      <w:r>
        <w:rPr>
          <w:rFonts w:cs="Arial Black" w:ascii="Arial Black" w:hAnsi="Arial Black"/>
          <w:b/>
          <w:bCs/>
          <w:sz w:val="28"/>
          <w:szCs w:val="22"/>
          <w:lang w:eastAsia="en-GB"/>
        </w:rPr>
        <w:t>Be Bold, Make a Difference, Show you Care</w:t>
      </w:r>
    </w:p>
    <w:p>
      <w:pPr>
        <w:pStyle w:val="Normal"/>
        <w:jc w:val="right"/>
        <w:rPr>
          <w:rFonts w:ascii="Arial Black" w:hAnsi="Arial Black" w:cs="Arial Black"/>
          <w:b/>
          <w:b/>
          <w:bCs/>
          <w:szCs w:val="22"/>
        </w:rPr>
      </w:pPr>
      <w:r>
        <w:rPr>
          <w:rFonts w:cs="Arial Black" w:ascii="Arial Black" w:hAnsi="Arial Black"/>
          <w:b/>
          <w:bCs/>
          <w:szCs w:val="22"/>
        </w:rPr>
      </w:r>
    </w:p>
    <w:tbl>
      <w:tblPr>
        <w:tblW w:w="9224" w:type="dxa"/>
        <w:jc w:val="left"/>
        <w:tblInd w:w="0" w:type="dxa"/>
        <w:tblCellMar>
          <w:top w:w="0" w:type="dxa"/>
          <w:left w:w="108" w:type="dxa"/>
          <w:bottom w:w="0" w:type="dxa"/>
          <w:right w:w="108" w:type="dxa"/>
        </w:tblCellMar>
      </w:tblPr>
      <w:tblGrid>
        <w:gridCol w:w="9224"/>
      </w:tblGrid>
      <w:tr>
        <w:trPr/>
        <w:tc>
          <w:tcPr>
            <w:tcW w:w="9224"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108" w:hanging="709"/>
              <w:jc w:val="center"/>
              <w:rPr>
                <w:color w:val="800080"/>
                <w:sz w:val="28"/>
              </w:rPr>
            </w:pPr>
            <w:r>
              <w:rPr>
                <w:color w:val="800080"/>
                <w:sz w:val="28"/>
              </w:rPr>
              <w:t>JOB ROLE PROFILE AND PERSON SPECIFICATION</w:t>
            </w:r>
          </w:p>
        </w:tc>
      </w:tr>
    </w:tbl>
    <w:p>
      <w:pPr>
        <w:pStyle w:val="Normal"/>
        <w:tabs>
          <w:tab w:val="clear" w:pos="720"/>
          <w:tab w:val="left" w:pos="1440" w:leader="none"/>
        </w:tabs>
        <w:ind w:left="0" w:right="184" w:hanging="0"/>
        <w:rPr>
          <w:rFonts w:ascii="Arial" w:hAnsi="Arial" w:cs="Arial"/>
          <w:sz w:val="22"/>
        </w:rPr>
      </w:pPr>
      <w:r>
        <w:rPr>
          <w:rFonts w:cs="Arial" w:ascii="Arial" w:hAnsi="Arial"/>
          <w:sz w:val="22"/>
        </w:rPr>
      </w:r>
    </w:p>
    <w:p>
      <w:pPr>
        <w:pStyle w:val="Normal"/>
        <w:tabs>
          <w:tab w:val="clear" w:pos="720"/>
          <w:tab w:val="left" w:pos="1440" w:leader="none"/>
        </w:tabs>
        <w:ind w:left="0" w:right="184" w:hanging="0"/>
        <w:rPr/>
      </w:pPr>
      <w:r>
        <w:rPr>
          <w:rFonts w:cs="Arial" w:ascii="Arial" w:hAnsi="Arial"/>
          <w:sz w:val="22"/>
        </w:rPr>
        <w:t xml:space="preserve">Post Title and Number: </w:t>
      </w:r>
      <w:r>
        <w:rPr>
          <w:rFonts w:cs="Arial" w:ascii="Arial" w:hAnsi="Arial"/>
          <w:sz w:val="22"/>
          <w:u w:val="single"/>
        </w:rPr>
        <w:t>Service Manager Children in Care</w:t>
      </w:r>
    </w:p>
    <w:p>
      <w:pPr>
        <w:pStyle w:val="Normal"/>
        <w:rPr>
          <w:rFonts w:ascii="Arial" w:hAnsi="Arial" w:cs="Arial"/>
          <w:sz w:val="22"/>
        </w:rPr>
      </w:pPr>
      <w:r>
        <w:rPr>
          <w:rFonts w:cs="Arial" w:ascii="Arial" w:hAnsi="Arial"/>
          <w:sz w:val="22"/>
        </w:rPr>
      </w:r>
    </w:p>
    <w:p>
      <w:pPr>
        <w:pStyle w:val="Normal"/>
        <w:tabs>
          <w:tab w:val="clear" w:pos="720"/>
          <w:tab w:val="left" w:pos="8364" w:leader="none"/>
        </w:tabs>
        <w:rPr/>
      </w:pPr>
      <w:r>
        <w:rPr>
          <w:rFonts w:cs="Arial" w:ascii="Arial" w:hAnsi="Arial"/>
          <w:sz w:val="22"/>
        </w:rPr>
        <w:t xml:space="preserve">Present Grade: </w:t>
      </w:r>
      <w:r>
        <w:rPr>
          <w:rFonts w:cs="Arial" w:ascii="Arial" w:hAnsi="Arial"/>
          <w:sz w:val="22"/>
          <w:u w:val="single"/>
        </w:rPr>
        <w:t>Head of Service Two</w:t>
      </w:r>
      <w:r>
        <w:rPr>
          <w:rFonts w:cs="Arial" w:ascii="Arial" w:hAnsi="Arial"/>
          <w:sz w:val="22"/>
        </w:rPr>
        <w:t xml:space="preserve">         Dept: </w:t>
      </w:r>
      <w:r>
        <w:rPr>
          <w:rFonts w:cs="Arial" w:ascii="Arial" w:hAnsi="Arial"/>
          <w:sz w:val="22"/>
          <w:u w:val="single"/>
        </w:rPr>
        <w:t xml:space="preserve">People </w:t>
      </w:r>
      <w:r>
        <w:rPr>
          <w:rFonts w:cs="Arial" w:ascii="Arial" w:hAnsi="Arial"/>
          <w:sz w:val="22"/>
        </w:rPr>
        <w:t xml:space="preserve">  </w:t>
      </w:r>
      <w:r>
        <w:rPr>
          <w:rFonts w:cs="Arial" w:ascii="Arial" w:hAnsi="Arial"/>
          <w:sz w:val="22"/>
          <w:u w:val="single"/>
        </w:rPr>
        <w:t xml:space="preserve">                                        </w:t>
      </w:r>
    </w:p>
    <w:p>
      <w:pPr>
        <w:pStyle w:val="Normal"/>
        <w:tabs>
          <w:tab w:val="clear" w:pos="720"/>
          <w:tab w:val="left" w:pos="4320" w:leader="none"/>
          <w:tab w:val="left" w:pos="4680" w:leader="none"/>
          <w:tab w:val="left" w:pos="8364" w:leader="none"/>
        </w:tabs>
        <w:rPr>
          <w:rFonts w:ascii="Arial" w:hAnsi="Arial" w:cs="Arial"/>
          <w:sz w:val="22"/>
        </w:rPr>
      </w:pPr>
      <w:r>
        <w:rPr>
          <w:rFonts w:cs="Arial" w:ascii="Arial" w:hAnsi="Arial"/>
          <w:sz w:val="22"/>
        </w:rPr>
      </w:r>
    </w:p>
    <w:p>
      <w:pPr>
        <w:pStyle w:val="Normal"/>
        <w:rPr/>
      </w:pPr>
      <w:r>
        <w:rPr>
          <w:rFonts w:cs="Arial" w:ascii="Arial" w:hAnsi="Arial"/>
          <w:sz w:val="22"/>
        </w:rPr>
        <w:t xml:space="preserve">Service/Section/Team: </w:t>
      </w:r>
      <w:r>
        <w:rPr>
          <w:rFonts w:cs="Arial" w:ascii="Arial" w:hAnsi="Arial"/>
          <w:sz w:val="22"/>
          <w:u w:val="single"/>
        </w:rPr>
        <w:t>Children and Family Services</w:t>
      </w:r>
      <w:r>
        <w:rPr>
          <w:rFonts w:cs="Arial" w:ascii="Arial" w:hAnsi="Arial"/>
          <w:sz w:val="22"/>
        </w:rPr>
        <w:tab/>
      </w:r>
    </w:p>
    <w:p>
      <w:pPr>
        <w:pStyle w:val="Normal"/>
        <w:rPr>
          <w:rFonts w:ascii="Arial" w:hAnsi="Arial" w:cs="Arial"/>
          <w:sz w:val="22"/>
        </w:rPr>
      </w:pPr>
      <w:r>
        <w:rPr>
          <w:rFonts w:cs="Arial" w:ascii="Arial" w:hAnsi="Arial"/>
          <w:sz w:val="22"/>
        </w:rPr>
      </w:r>
    </w:p>
    <w:p>
      <w:pPr>
        <w:pStyle w:val="Normal"/>
        <w:rPr/>
      </w:pPr>
      <w:r>
        <w:rPr>
          <w:rFonts w:cs="Arial" w:ascii="Arial" w:hAnsi="Arial"/>
          <w:sz w:val="22"/>
        </w:rPr>
        <w:t xml:space="preserve">Reports to: </w:t>
      </w:r>
      <w:r>
        <w:rPr>
          <w:rFonts w:cs="Arial" w:ascii="Arial" w:hAnsi="Arial"/>
          <w:sz w:val="22"/>
          <w:u w:val="single"/>
        </w:rPr>
        <w:t>Head of Services for Children in Care and Care Leavers</w:t>
      </w:r>
    </w:p>
    <w:p>
      <w:pPr>
        <w:pStyle w:val="Normal"/>
        <w:tabs>
          <w:tab w:val="clear" w:pos="720"/>
          <w:tab w:val="left" w:pos="8364" w:leader="none"/>
        </w:tabs>
        <w:rPr>
          <w:rFonts w:ascii="Arial" w:hAnsi="Arial" w:cs="Arial"/>
          <w:sz w:val="22"/>
          <w:u w:val="single"/>
        </w:rPr>
      </w:pPr>
      <w:r>
        <w:rPr>
          <w:rFonts w:cs="Arial" w:ascii="Arial" w:hAnsi="Arial"/>
          <w:sz w:val="22"/>
          <w:u w:val="single"/>
        </w:rPr>
      </w:r>
    </w:p>
    <w:p>
      <w:pPr>
        <w:pStyle w:val="Normal"/>
        <w:tabs>
          <w:tab w:val="clear" w:pos="720"/>
          <w:tab w:val="left" w:pos="8364" w:leader="none"/>
        </w:tabs>
        <w:rPr>
          <w:rFonts w:ascii="Arial" w:hAnsi="Arial" w:cs="Arial"/>
          <w:sz w:val="22"/>
          <w:u w:val="single"/>
        </w:rPr>
      </w:pPr>
      <w:r>
        <w:rPr>
          <w:rFonts w:cs="Arial" w:ascii="Arial" w:hAnsi="Arial"/>
          <w:sz w:val="22"/>
          <w:u w:val="single"/>
        </w:rPr>
      </w:r>
    </w:p>
    <w:p>
      <w:pPr>
        <w:pStyle w:val="Normal"/>
        <w:tabs>
          <w:tab w:val="clear" w:pos="720"/>
          <w:tab w:val="left" w:pos="8364" w:leader="none"/>
        </w:tabs>
        <w:rPr>
          <w:rFonts w:ascii="Arial" w:hAnsi="Arial" w:cs="Arial"/>
          <w:sz w:val="22"/>
          <w:u w:val="single"/>
        </w:rPr>
      </w:pPr>
      <w:r>
        <w:rPr>
          <w:rFonts w:cs="Arial" w:ascii="Arial" w:hAnsi="Arial"/>
          <w:sz w:val="22"/>
          <w:u w:val="single"/>
        </w:rPr>
      </w:r>
    </w:p>
    <w:tbl>
      <w:tblPr>
        <w:tblW w:w="9224" w:type="dxa"/>
        <w:jc w:val="left"/>
        <w:tblInd w:w="-4" w:type="dxa"/>
        <w:tblCellMar>
          <w:top w:w="0" w:type="dxa"/>
          <w:left w:w="108" w:type="dxa"/>
          <w:bottom w:w="0" w:type="dxa"/>
          <w:right w:w="108" w:type="dxa"/>
        </w:tblCellMar>
      </w:tblPr>
      <w:tblGrid>
        <w:gridCol w:w="9224"/>
      </w:tblGrid>
      <w:tr>
        <w:trPr/>
        <w:tc>
          <w:tcPr>
            <w:tcW w:w="9224"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left"/>
              <w:rPr>
                <w:color w:val="800080"/>
                <w:sz w:val="22"/>
              </w:rPr>
            </w:pPr>
            <w:r>
              <w:rPr>
                <w:color w:val="800080"/>
                <w:sz w:val="22"/>
              </w:rPr>
              <w:t>Purpose of the Role:</w:t>
            </w:r>
          </w:p>
        </w:tc>
      </w:tr>
    </w:tbl>
    <w:p>
      <w:pPr>
        <w:pStyle w:val="Normal"/>
        <w:rPr>
          <w:rFonts w:ascii="Arial" w:hAnsi="Arial" w:cs="Arial"/>
          <w:sz w:val="22"/>
        </w:rPr>
      </w:pPr>
      <w:r>
        <w:rPr>
          <w:rFonts w:cs="Arial" w:ascii="Arial" w:hAnsi="Arial"/>
          <w:sz w:val="22"/>
        </w:rPr>
      </w:r>
    </w:p>
    <w:p>
      <w:pPr>
        <w:pStyle w:val="Normal"/>
        <w:rPr>
          <w:rFonts w:ascii="Arial" w:hAnsi="Arial" w:cs="Arial"/>
          <w:b/>
          <w:b/>
          <w:bCs/>
          <w:sz w:val="22"/>
        </w:rPr>
      </w:pPr>
      <w:r>
        <w:rPr>
          <w:rFonts w:cs="Arial" w:ascii="Arial" w:hAnsi="Arial"/>
          <w:b/>
          <w:bCs/>
          <w:sz w:val="22"/>
        </w:rPr>
        <w:t>As a senior leader within the Council the Head of the Children in Care Service will:</w:t>
      </w:r>
    </w:p>
    <w:p>
      <w:pPr>
        <w:pStyle w:val="Normal"/>
        <w:rPr>
          <w:rFonts w:ascii="Arial" w:hAnsi="Arial" w:cs="Arial"/>
          <w:sz w:val="22"/>
        </w:rPr>
      </w:pPr>
      <w:r>
        <w:rPr>
          <w:rFonts w:cs="Arial" w:ascii="Arial" w:hAnsi="Arial"/>
          <w:sz w:val="22"/>
        </w:rPr>
      </w:r>
    </w:p>
    <w:p>
      <w:pPr>
        <w:pStyle w:val="Normal"/>
        <w:numPr>
          <w:ilvl w:val="0"/>
          <w:numId w:val="5"/>
        </w:numPr>
        <w:rPr>
          <w:rFonts w:ascii="Arial" w:hAnsi="Arial" w:cs="Arial"/>
          <w:sz w:val="22"/>
          <w:szCs w:val="22"/>
        </w:rPr>
      </w:pPr>
      <w:r>
        <w:rPr>
          <w:rFonts w:cs="Arial" w:ascii="Arial" w:hAnsi="Arial"/>
          <w:sz w:val="22"/>
          <w:szCs w:val="22"/>
        </w:rPr>
        <w:t>Provide visible, authoritative and values-led leadership for the Children in Care Service, ensuring that children and young people are at the centre of decision-making and that practice is ambitious, relational, timely and outcome-focused.</w:t>
      </w:r>
    </w:p>
    <w:p>
      <w:pPr>
        <w:pStyle w:val="ListParagraph"/>
        <w:numPr>
          <w:ilvl w:val="0"/>
          <w:numId w:val="5"/>
        </w:numPr>
        <w:rPr>
          <w:rFonts w:ascii="Arial" w:hAnsi="Arial" w:cs="Arial"/>
          <w:sz w:val="22"/>
          <w:szCs w:val="22"/>
        </w:rPr>
      </w:pPr>
      <w:r>
        <w:rPr>
          <w:rFonts w:cs="Arial" w:ascii="Arial" w:hAnsi="Arial"/>
          <w:sz w:val="22"/>
          <w:szCs w:val="22"/>
        </w:rPr>
        <w:t>Lead the delivery of safe, effective and legally compliant services for children in care aged 0–16+, ensuring compliance with statutory duties, care planning regulations, permanency planning requirements, safeguarding expectations and national inspection frameworks.</w:t>
      </w:r>
    </w:p>
    <w:p>
      <w:pPr>
        <w:pStyle w:val="ListParagraph"/>
        <w:numPr>
          <w:ilvl w:val="0"/>
          <w:numId w:val="5"/>
        </w:numPr>
        <w:rPr>
          <w:rFonts w:ascii="Arial" w:hAnsi="Arial" w:cs="Arial"/>
          <w:sz w:val="22"/>
          <w:szCs w:val="22"/>
        </w:rPr>
      </w:pPr>
      <w:r>
        <w:rPr>
          <w:rFonts w:cs="Arial" w:ascii="Arial" w:hAnsi="Arial"/>
          <w:sz w:val="22"/>
          <w:szCs w:val="22"/>
        </w:rPr>
        <w:t>Set and maintain clear practice standards across the service, using supervision, audit, performance information, management oversight and direct challenge to secure consistent, high-quality practice.</w:t>
      </w:r>
    </w:p>
    <w:p>
      <w:pPr>
        <w:pStyle w:val="ListParagraph"/>
        <w:numPr>
          <w:ilvl w:val="0"/>
          <w:numId w:val="5"/>
        </w:numPr>
        <w:rPr>
          <w:rFonts w:ascii="Arial" w:hAnsi="Arial" w:cs="Arial"/>
          <w:sz w:val="22"/>
          <w:szCs w:val="22"/>
        </w:rPr>
      </w:pPr>
      <w:r>
        <w:rPr>
          <w:rFonts w:cs="Arial" w:ascii="Arial" w:hAnsi="Arial"/>
          <w:sz w:val="22"/>
          <w:szCs w:val="22"/>
        </w:rPr>
        <w:t>Drive continuous improvement through robust quality assurance, evidence-based service diagnostics, learning from children and families, complaints, audit activity, inspection findings and performance data.</w:t>
      </w:r>
    </w:p>
    <w:p>
      <w:pPr>
        <w:pStyle w:val="ListParagraph"/>
        <w:numPr>
          <w:ilvl w:val="0"/>
          <w:numId w:val="5"/>
        </w:numPr>
        <w:rPr>
          <w:rFonts w:ascii="Arial" w:hAnsi="Arial" w:cs="Arial"/>
          <w:sz w:val="22"/>
          <w:szCs w:val="22"/>
        </w:rPr>
      </w:pPr>
      <w:r>
        <w:rPr>
          <w:rFonts w:cs="Arial" w:ascii="Arial" w:hAnsi="Arial"/>
          <w:sz w:val="22"/>
          <w:szCs w:val="22"/>
        </w:rPr>
        <w:t>Lead effective budget planning, forecasting and resource management, ensuring services are delivered within agreed financial parameters while maintaining safe and sufficient provision for children.</w:t>
      </w:r>
    </w:p>
    <w:p>
      <w:pPr>
        <w:pStyle w:val="ListParagraph"/>
        <w:numPr>
          <w:ilvl w:val="0"/>
          <w:numId w:val="5"/>
        </w:numPr>
        <w:rPr>
          <w:rFonts w:ascii="Arial" w:hAnsi="Arial" w:cs="Arial"/>
          <w:sz w:val="22"/>
          <w:szCs w:val="22"/>
        </w:rPr>
      </w:pPr>
      <w:r>
        <w:rPr>
          <w:rFonts w:cs="Arial" w:ascii="Arial" w:hAnsi="Arial"/>
          <w:sz w:val="22"/>
          <w:szCs w:val="22"/>
        </w:rPr>
        <w:t>Strengthen permanence, placement stability, care planning, health, education and emotional wellbeing outcomes for children in care through effective multi-agency partnership working.</w:t>
      </w:r>
    </w:p>
    <w:p>
      <w:pPr>
        <w:pStyle w:val="ListParagraph"/>
        <w:numPr>
          <w:ilvl w:val="0"/>
          <w:numId w:val="5"/>
        </w:numPr>
        <w:rPr>
          <w:rFonts w:ascii="Arial" w:hAnsi="Arial" w:cs="Arial"/>
          <w:sz w:val="22"/>
          <w:szCs w:val="22"/>
        </w:rPr>
      </w:pPr>
      <w:r>
        <w:rPr>
          <w:rFonts w:cs="Arial" w:ascii="Arial" w:hAnsi="Arial"/>
          <w:sz w:val="22"/>
          <w:szCs w:val="22"/>
        </w:rPr>
        <w:t>Promote and embed the Council’s corporate parenting responsibilities, ensuring that the voice, wishes and lived experiences of children and young people inform service priorities and individual planning.</w:t>
      </w:r>
    </w:p>
    <w:p>
      <w:pPr>
        <w:pStyle w:val="ListParagraph"/>
        <w:numPr>
          <w:ilvl w:val="0"/>
          <w:numId w:val="5"/>
        </w:numPr>
        <w:rPr>
          <w:rFonts w:ascii="Arial" w:hAnsi="Arial" w:cs="Arial"/>
          <w:sz w:val="22"/>
          <w:szCs w:val="22"/>
        </w:rPr>
      </w:pPr>
      <w:r>
        <w:rPr>
          <w:rFonts w:cs="Arial" w:ascii="Arial" w:hAnsi="Arial"/>
          <w:sz w:val="22"/>
          <w:szCs w:val="22"/>
        </w:rPr>
        <w:t>Provide expert professional advice and challenge across the department, Council and partnership system in relation to children in care, safeguarding, care planning, permanence and service improvement.</w:t>
      </w:r>
    </w:p>
    <w:p>
      <w:pPr>
        <w:pStyle w:val="ListParagraph"/>
        <w:numPr>
          <w:ilvl w:val="0"/>
          <w:numId w:val="5"/>
        </w:numPr>
        <w:rPr>
          <w:rFonts w:ascii="Arial" w:hAnsi="Arial" w:cs="Arial"/>
          <w:sz w:val="22"/>
          <w:szCs w:val="22"/>
        </w:rPr>
      </w:pPr>
      <w:r>
        <w:rPr>
          <w:rFonts w:cs="Arial" w:ascii="Arial" w:hAnsi="Arial"/>
          <w:sz w:val="22"/>
          <w:szCs w:val="22"/>
        </w:rPr>
        <w:t>Build and sustain effective relationships with elected members, senior leaders, partner agencies, providers, carers, families and children to secure shared accountability for improved outcomes.</w:t>
      </w:r>
    </w:p>
    <w:p>
      <w:pPr>
        <w:pStyle w:val="ListParagraph"/>
        <w:numPr>
          <w:ilvl w:val="0"/>
          <w:numId w:val="5"/>
        </w:numPr>
        <w:rPr>
          <w:rFonts w:ascii="Arial" w:hAnsi="Arial" w:cs="Arial"/>
          <w:sz w:val="22"/>
          <w:szCs w:val="22"/>
        </w:rPr>
      </w:pPr>
      <w:r>
        <w:rPr>
          <w:rFonts w:cs="Arial" w:ascii="Arial" w:hAnsi="Arial"/>
          <w:sz w:val="22"/>
          <w:szCs w:val="22"/>
        </w:rPr>
        <w:t>Contribute to the overall leadership, direction and management of Children and Family Services, supporting the delivery of local and national priorities and deputising where required.</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tbl>
      <w:tblPr>
        <w:tblW w:w="9224" w:type="dxa"/>
        <w:jc w:val="left"/>
        <w:tblInd w:w="-4" w:type="dxa"/>
        <w:tblCellMar>
          <w:top w:w="0" w:type="dxa"/>
          <w:left w:w="108" w:type="dxa"/>
          <w:bottom w:w="0" w:type="dxa"/>
          <w:right w:w="108" w:type="dxa"/>
        </w:tblCellMar>
      </w:tblPr>
      <w:tblGrid>
        <w:gridCol w:w="9224"/>
      </w:tblGrid>
      <w:tr>
        <w:trPr/>
        <w:tc>
          <w:tcPr>
            <w:tcW w:w="9224"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left"/>
              <w:rPr>
                <w:color w:val="800080"/>
                <w:sz w:val="22"/>
              </w:rPr>
            </w:pPr>
            <w:r>
              <w:rPr>
                <w:color w:val="800080"/>
                <w:sz w:val="22"/>
              </w:rPr>
              <w:t>Dimensions including Structure Chart:</w:t>
            </w:r>
          </w:p>
        </w:tc>
      </w:tr>
    </w:tbl>
    <w:p>
      <w:pPr>
        <w:pStyle w:val="Normal"/>
        <w:ind w:left="-192" w:right="0" w:hanging="0"/>
        <w:rPr>
          <w:rFonts w:ascii="Arial" w:hAnsi="Arial" w:cs="Arial"/>
          <w:sz w:val="22"/>
        </w:rPr>
      </w:pPr>
      <w:r>
        <w:rPr>
          <w:rFonts w:cs="Arial" w:ascii="Arial" w:hAnsi="Arial"/>
          <w:sz w:val="22"/>
        </w:rPr>
      </w:r>
    </w:p>
    <w:p>
      <w:pPr>
        <w:pStyle w:val="Normal"/>
        <w:numPr>
          <w:ilvl w:val="0"/>
          <w:numId w:val="2"/>
        </w:numPr>
        <w:ind w:left="284" w:right="0" w:hanging="284"/>
        <w:rPr>
          <w:rFonts w:ascii="Arial" w:hAnsi="Arial" w:cs="Arial"/>
          <w:sz w:val="22"/>
        </w:rPr>
      </w:pPr>
      <w:r>
        <w:rPr>
          <w:rFonts w:cs="Arial" w:ascii="Arial" w:hAnsi="Arial"/>
          <w:sz w:val="22"/>
        </w:rPr>
        <w:t>Annual budgetary amounts with which the role is either directly or indirectly concerned:</w:t>
      </w:r>
    </w:p>
    <w:p>
      <w:pPr>
        <w:pStyle w:val="Normal"/>
        <w:ind w:left="284" w:right="0" w:hanging="284"/>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The post holder will be responsible for supporting or the management and monitoring of a budget of around £5 million pounds.</w:t>
      </w:r>
    </w:p>
    <w:p>
      <w:pPr>
        <w:pStyle w:val="Normal"/>
        <w:ind w:left="284" w:right="0" w:hanging="284"/>
        <w:rPr>
          <w:rFonts w:ascii="Arial" w:hAnsi="Arial" w:cs="Arial"/>
          <w:b/>
          <w:b/>
          <w:bCs/>
          <w:sz w:val="22"/>
        </w:rPr>
      </w:pPr>
      <w:r>
        <w:rPr>
          <w:rFonts w:cs="Arial" w:ascii="Arial" w:hAnsi="Arial"/>
          <w:b/>
          <w:bCs/>
          <w:sz w:val="22"/>
        </w:rPr>
      </w:r>
    </w:p>
    <w:p>
      <w:pPr>
        <w:pStyle w:val="Normal"/>
        <w:ind w:left="284" w:right="0" w:hanging="284"/>
        <w:rPr>
          <w:rFonts w:ascii="Arial" w:hAnsi="Arial" w:cs="Arial"/>
          <w:b/>
          <w:b/>
          <w:bCs/>
          <w:sz w:val="22"/>
        </w:rPr>
      </w:pPr>
      <w:r>
        <w:rPr>
          <w:rFonts w:cs="Arial" w:ascii="Arial" w:hAnsi="Arial"/>
          <w:b/>
          <w:bCs/>
          <w:sz w:val="22"/>
        </w:rPr>
      </w:r>
    </w:p>
    <w:p>
      <w:pPr>
        <w:pStyle w:val="Normal"/>
        <w:ind w:left="284" w:right="0" w:hanging="284"/>
        <w:rPr>
          <w:rFonts w:ascii="Arial" w:hAnsi="Arial" w:cs="Arial"/>
          <w:b/>
          <w:b/>
          <w:bCs/>
          <w:sz w:val="22"/>
        </w:rPr>
      </w:pPr>
      <w:r>
        <w:rPr>
          <w:rFonts w:cs="Arial" w:ascii="Arial" w:hAnsi="Arial"/>
          <w:b/>
          <w:bCs/>
          <w:sz w:val="22"/>
        </w:rPr>
      </w:r>
    </w:p>
    <w:p>
      <w:pPr>
        <w:pStyle w:val="Normal"/>
        <w:ind w:left="284" w:right="0" w:hanging="284"/>
        <w:rPr>
          <w:rFonts w:ascii="Arial" w:hAnsi="Arial" w:cs="Arial"/>
          <w:b/>
          <w:b/>
          <w:bCs/>
          <w:sz w:val="22"/>
        </w:rPr>
      </w:pPr>
      <w:r>
        <w:rPr>
          <w:rFonts w:cs="Arial" w:ascii="Arial" w:hAnsi="Arial"/>
          <w:b/>
          <w:bCs/>
          <w:sz w:val="22"/>
        </w:rPr>
      </w:r>
    </w:p>
    <w:p>
      <w:pPr>
        <w:pStyle w:val="Normal"/>
        <w:numPr>
          <w:ilvl w:val="0"/>
          <w:numId w:val="2"/>
        </w:numPr>
        <w:ind w:left="284" w:right="0" w:hanging="284"/>
        <w:rPr>
          <w:rFonts w:ascii="Arial" w:hAnsi="Arial" w:cs="Arial"/>
          <w:sz w:val="22"/>
        </w:rPr>
      </w:pPr>
      <w:r>
        <w:rPr>
          <w:rFonts w:cs="Arial" w:ascii="Arial" w:hAnsi="Arial"/>
          <w:sz w:val="22"/>
        </w:rPr>
        <w:t>Structure Chart:</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mc:AlternateContent>
          <mc:Choice Requires="wpg">
            <w:drawing>
              <wp:inline distT="0" distB="0" distL="0" distR="0">
                <wp:extent cx="7058660" cy="2449195"/>
                <wp:effectExtent l="0" t="0" r="0" b="0"/>
                <wp:docPr id="2" name=""/>
                <a:graphic xmlns:a="http://schemas.openxmlformats.org/drawingml/2006/main">
                  <a:graphicData uri="http://schemas.microsoft.com/office/word/2010/wordprocessingGroup">
                    <wpg:wgp>
                      <wpg:cNvGrpSpPr/>
                      <wpg:grpSpPr>
                        <a:xfrm>
                          <a:off x="0" y="0"/>
                          <a:ext cx="7058160" cy="2448720"/>
                        </a:xfrm>
                      </wpg:grpSpPr>
                      <wps:wsp>
                        <wps:cNvSpPr/>
                        <wps:nvSpPr>
                          <wps:cNvPr id="0" name="Rectangle 1"/>
                          <wps:cNvSpPr/>
                        </wps:nvSpPr>
                        <wps:spPr>
                          <a:xfrm>
                            <a:off x="0" y="881280"/>
                            <a:ext cx="7057440" cy="1567080"/>
                          </a:xfrm>
                          <a:prstGeom prst="rect">
                            <a:avLst/>
                          </a:prstGeom>
                          <a:noFill/>
                          <a:ln>
                            <a:noFill/>
                          </a:ln>
                        </wps:spPr>
                        <wps:bodyPr/>
                      </wps:wsp>
                      <wps:cxnSp>
                        <wps:nvCxnSpPr>
                          <wps:cNvPr id="1" name="Line 2"/>
                          <wps:cNvCxnSpPr/>
                          <wps:nvPr/>
                        </wps:nvCxnSpPr>
                        <wps:spPr>
                          <a:xfrm>
                            <a:off x="727200" y="1958400"/>
                            <a:ext cx="360" cy="360"/>
                          </a:xfrm>
                          <a:prstGeom prst="straightConnector1">
                            <a:avLst/>
                          </a:prstGeom>
                          <a:ln w="28440">
                            <a:solidFill>
                              <a:srgbClr val="000000"/>
                            </a:solidFill>
                            <a:round/>
                          </a:ln>
                        </wps:spPr>
                        <wps:bodyPr/>
                      </wps:cxnSp>
                      <wps:cxnSp>
                        <wps:nvCxnSpPr>
                          <wps:cNvPr id="2" name="Line 3"/>
                          <wps:cNvCxnSpPr/>
                          <wps:nvPr/>
                        </wps:nvCxnSpPr>
                        <wps:spPr>
                          <a:xfrm>
                            <a:off x="4878720" y="720"/>
                            <a:ext cx="360" cy="360"/>
                          </a:xfrm>
                          <a:prstGeom prst="straightConnector1">
                            <a:avLst/>
                          </a:prstGeom>
                          <a:ln w="28440">
                            <a:solidFill>
                              <a:srgbClr val="000000"/>
                            </a:solidFill>
                            <a:miter/>
                          </a:ln>
                        </wps:spPr>
                        <wps:bodyPr/>
                      </wps:cxnSp>
                      <wps:cxnSp>
                        <wps:nvCxnSpPr>
                          <wps:cNvPr id="3" name="Line 4"/>
                          <wps:cNvCxnSpPr/>
                          <wps:nvPr/>
                        </wps:nvCxnSpPr>
                        <wps:spPr>
                          <a:xfrm>
                            <a:off x="4152240" y="685080"/>
                            <a:ext cx="360" cy="360"/>
                          </a:xfrm>
                          <a:prstGeom prst="straightConnector1">
                            <a:avLst/>
                          </a:prstGeom>
                          <a:ln w="28440">
                            <a:solidFill>
                              <a:srgbClr val="000000"/>
                            </a:solidFill>
                            <a:miter/>
                          </a:ln>
                        </wps:spPr>
                        <wps:bodyPr/>
                      </wps:cxnSp>
                      <wps:cxnSp>
                        <wps:nvCxnSpPr>
                          <wps:cNvPr id="4" name="Line 5"/>
                          <wps:cNvCxnSpPr/>
                          <wps:nvPr/>
                        </wps:nvCxnSpPr>
                        <wps:spPr>
                          <a:xfrm>
                            <a:off x="3427200" y="1370880"/>
                            <a:ext cx="360" cy="360"/>
                          </a:xfrm>
                          <a:prstGeom prst="straightConnector1">
                            <a:avLst/>
                          </a:prstGeom>
                          <a:ln w="28440">
                            <a:solidFill>
                              <a:srgbClr val="000000"/>
                            </a:solidFill>
                            <a:miter/>
                          </a:ln>
                        </wps:spPr>
                        <wps:bodyPr/>
                      </wps:cxnSp>
                      <wps:cxnSp>
                        <wps:nvCxnSpPr>
                          <wps:cNvPr id="5" name="Line 6"/>
                          <wps:cNvCxnSpPr/>
                          <wps:nvPr/>
                        </wps:nvCxnSpPr>
                        <wps:spPr>
                          <a:xfrm>
                            <a:off x="2906280" y="685080"/>
                            <a:ext cx="360" cy="360"/>
                          </a:xfrm>
                          <a:prstGeom prst="straightConnector1">
                            <a:avLst/>
                          </a:prstGeom>
                          <a:ln w="28440">
                            <a:solidFill>
                              <a:srgbClr val="000000"/>
                            </a:solidFill>
                            <a:miter/>
                          </a:ln>
                        </wps:spPr>
                        <wps:bodyPr/>
                      </wps:cxnSp>
                      <wps:cxnSp>
                        <wps:nvCxnSpPr>
                          <wps:cNvPr id="6" name="Line 7"/>
                          <wps:cNvCxnSpPr/>
                          <wps:nvPr/>
                        </wps:nvCxnSpPr>
                        <wps:spPr>
                          <a:xfrm>
                            <a:off x="2178720" y="0"/>
                            <a:ext cx="360" cy="360"/>
                          </a:xfrm>
                          <a:prstGeom prst="straightConnector1">
                            <a:avLst/>
                          </a:prstGeom>
                          <a:ln w="28440">
                            <a:solidFill>
                              <a:srgbClr val="000000"/>
                            </a:solidFill>
                            <a:miter/>
                          </a:ln>
                        </wps:spPr>
                        <wps:bodyPr/>
                      </wps:cxnSp>
                      <wps:wsp>
                        <wps:cNvSpPr/>
                        <wps:spPr>
                          <a:xfrm>
                            <a:off x="2906280" y="881280"/>
                            <a:ext cx="1244520" cy="391320"/>
                          </a:xfrm>
                          <a:custGeom>
                            <a:avLst/>
                            <a:gdLst/>
                            <a:ahLst/>
                            <a:rect l="0" t="0" r="r" b="b"/>
                            <a:pathLst>
                              <a:path w="1962" h="618">
                                <a:moveTo>
                                  <a:pt x="51" y="0"/>
                                </a:moveTo>
                                <a:lnTo>
                                  <a:pt x="51" y="0"/>
                                </a:lnTo>
                                <a:cubicBezTo>
                                  <a:pt x="42" y="0"/>
                                  <a:pt x="34" y="2"/>
                                  <a:pt x="26" y="7"/>
                                </a:cubicBezTo>
                                <a:cubicBezTo>
                                  <a:pt x="18" y="11"/>
                                  <a:pt x="11" y="18"/>
                                  <a:pt x="7" y="26"/>
                                </a:cubicBezTo>
                                <a:cubicBezTo>
                                  <a:pt x="2" y="34"/>
                                  <a:pt x="0" y="42"/>
                                  <a:pt x="0" y="51"/>
                                </a:cubicBezTo>
                                <a:lnTo>
                                  <a:pt x="0" y="565"/>
                                </a:lnTo>
                                <a:lnTo>
                                  <a:pt x="0" y="566"/>
                                </a:lnTo>
                                <a:cubicBezTo>
                                  <a:pt x="0" y="575"/>
                                  <a:pt x="2" y="583"/>
                                  <a:pt x="7" y="591"/>
                                </a:cubicBezTo>
                                <a:cubicBezTo>
                                  <a:pt x="11" y="599"/>
                                  <a:pt x="18" y="606"/>
                                  <a:pt x="26" y="610"/>
                                </a:cubicBezTo>
                                <a:cubicBezTo>
                                  <a:pt x="34" y="615"/>
                                  <a:pt x="42" y="617"/>
                                  <a:pt x="51" y="617"/>
                                </a:cubicBezTo>
                                <a:lnTo>
                                  <a:pt x="1909" y="617"/>
                                </a:lnTo>
                                <a:lnTo>
                                  <a:pt x="1910" y="617"/>
                                </a:lnTo>
                                <a:cubicBezTo>
                                  <a:pt x="1919" y="617"/>
                                  <a:pt x="1927" y="615"/>
                                  <a:pt x="1935" y="610"/>
                                </a:cubicBezTo>
                                <a:cubicBezTo>
                                  <a:pt x="1943" y="606"/>
                                  <a:pt x="1950" y="599"/>
                                  <a:pt x="1954" y="591"/>
                                </a:cubicBezTo>
                                <a:cubicBezTo>
                                  <a:pt x="1959" y="583"/>
                                  <a:pt x="1961" y="575"/>
                                  <a:pt x="1961" y="566"/>
                                </a:cubicBezTo>
                                <a:lnTo>
                                  <a:pt x="1961" y="51"/>
                                </a:lnTo>
                                <a:lnTo>
                                  <a:pt x="1961" y="51"/>
                                </a:lnTo>
                                <a:lnTo>
                                  <a:pt x="1961" y="51"/>
                                </a:lnTo>
                                <a:cubicBezTo>
                                  <a:pt x="1961" y="42"/>
                                  <a:pt x="1959" y="34"/>
                                  <a:pt x="1954" y="26"/>
                                </a:cubicBezTo>
                                <a:cubicBezTo>
                                  <a:pt x="1950" y="18"/>
                                  <a:pt x="1943" y="11"/>
                                  <a:pt x="1935" y="7"/>
                                </a:cubicBezTo>
                                <a:cubicBezTo>
                                  <a:pt x="1927" y="2"/>
                                  <a:pt x="1919" y="0"/>
                                  <a:pt x="1910" y="0"/>
                                </a:cubicBezTo>
                                <a:lnTo>
                                  <a:pt x="51" y="0"/>
                                </a:lnTo>
                              </a:path>
                            </a:pathLst>
                          </a:custGeom>
                          <a:solidFill>
                            <a:srgbClr val="bbe0e3"/>
                          </a:solidFill>
                          <a:ln w="9360">
                            <a:solidFill>
                              <a:srgbClr val="000000"/>
                            </a:solidFill>
                            <a:round/>
                          </a:ln>
                        </wps:spPr>
                        <wps:style>
                          <a:lnRef idx="0"/>
                          <a:fillRef idx="0"/>
                          <a:effectRef idx="0"/>
                          <a:fontRef idx="minor"/>
                        </wps:style>
                        <wps:txbx>
                          <w:txbxContent>
                            <w:p>
                              <w:pPr>
                                <w:overflowPunct w:val="false"/>
                                <w:bidi w:val="0"/>
                                <w:spacing w:before="0" w:after="0"/>
                                <w:jc w:val="center"/>
                                <w:rPr/>
                              </w:pPr>
                              <w:r>
                                <w:rPr>
                                  <w:sz w:val="16"/>
                                  <w:kern w:val="0"/>
                                  <w:szCs w:val="20"/>
                                  <w:rFonts w:ascii="Times New Roman" w:hAnsi="Times New Roman" w:eastAsia="Times New Roman" w:cs="Times New Roman"/>
                                  <w:color w:val="auto"/>
                                  <w:lang w:val="en-GB" w:eastAsia="en-GB" w:bidi="ar-SA"/>
                                </w:rPr>
                                <w:t>Director Children’s Social Care</w:t>
                              </w:r>
                            </w:p>
                          </w:txbxContent>
                        </wps:txbx>
                        <wps:bodyPr lIns="0" rIns="0" tIns="0" bIns="0" anchor="ctr">
                          <a:noAutofit/>
                        </wps:bodyPr>
                      </wps:wsp>
                      <wps:wsp>
                        <wps:cNvSpPr/>
                        <wps:spPr>
                          <a:xfrm>
                            <a:off x="720" y="1469520"/>
                            <a:ext cx="1244520" cy="391320"/>
                          </a:xfrm>
                          <a:custGeom>
                            <a:avLst/>
                            <a:gdLst/>
                            <a:ahLst/>
                            <a:rect l="0" t="0" r="r" b="b"/>
                            <a:pathLst>
                              <a:path w="1962" h="618">
                                <a:moveTo>
                                  <a:pt x="51" y="0"/>
                                </a:moveTo>
                                <a:lnTo>
                                  <a:pt x="51" y="0"/>
                                </a:lnTo>
                                <a:cubicBezTo>
                                  <a:pt x="42" y="0"/>
                                  <a:pt x="34" y="2"/>
                                  <a:pt x="26" y="7"/>
                                </a:cubicBezTo>
                                <a:cubicBezTo>
                                  <a:pt x="18" y="11"/>
                                  <a:pt x="11" y="18"/>
                                  <a:pt x="7" y="26"/>
                                </a:cubicBezTo>
                                <a:cubicBezTo>
                                  <a:pt x="2" y="34"/>
                                  <a:pt x="0" y="42"/>
                                  <a:pt x="0" y="51"/>
                                </a:cubicBezTo>
                                <a:lnTo>
                                  <a:pt x="0" y="565"/>
                                </a:lnTo>
                                <a:lnTo>
                                  <a:pt x="0" y="566"/>
                                </a:lnTo>
                                <a:cubicBezTo>
                                  <a:pt x="0" y="575"/>
                                  <a:pt x="2" y="583"/>
                                  <a:pt x="7" y="591"/>
                                </a:cubicBezTo>
                                <a:cubicBezTo>
                                  <a:pt x="11" y="599"/>
                                  <a:pt x="18" y="606"/>
                                  <a:pt x="26" y="610"/>
                                </a:cubicBezTo>
                                <a:cubicBezTo>
                                  <a:pt x="34" y="615"/>
                                  <a:pt x="42" y="617"/>
                                  <a:pt x="51" y="617"/>
                                </a:cubicBezTo>
                                <a:lnTo>
                                  <a:pt x="1909" y="617"/>
                                </a:lnTo>
                                <a:lnTo>
                                  <a:pt x="1910" y="617"/>
                                </a:lnTo>
                                <a:cubicBezTo>
                                  <a:pt x="1919" y="617"/>
                                  <a:pt x="1927" y="615"/>
                                  <a:pt x="1935" y="610"/>
                                </a:cubicBezTo>
                                <a:cubicBezTo>
                                  <a:pt x="1943" y="606"/>
                                  <a:pt x="1950" y="599"/>
                                  <a:pt x="1954" y="591"/>
                                </a:cubicBezTo>
                                <a:cubicBezTo>
                                  <a:pt x="1959" y="583"/>
                                  <a:pt x="1961" y="575"/>
                                  <a:pt x="1961" y="566"/>
                                </a:cubicBezTo>
                                <a:lnTo>
                                  <a:pt x="1961" y="51"/>
                                </a:lnTo>
                                <a:lnTo>
                                  <a:pt x="1961" y="51"/>
                                </a:lnTo>
                                <a:lnTo>
                                  <a:pt x="1961" y="51"/>
                                </a:lnTo>
                                <a:cubicBezTo>
                                  <a:pt x="1961" y="42"/>
                                  <a:pt x="1959" y="34"/>
                                  <a:pt x="1954" y="26"/>
                                </a:cubicBezTo>
                                <a:cubicBezTo>
                                  <a:pt x="1950" y="18"/>
                                  <a:pt x="1943" y="11"/>
                                  <a:pt x="1935" y="7"/>
                                </a:cubicBezTo>
                                <a:cubicBezTo>
                                  <a:pt x="1927" y="2"/>
                                  <a:pt x="1919" y="0"/>
                                  <a:pt x="1910" y="0"/>
                                </a:cubicBezTo>
                                <a:lnTo>
                                  <a:pt x="51" y="0"/>
                                </a:lnTo>
                              </a:path>
                            </a:pathLst>
                          </a:custGeom>
                          <a:solidFill>
                            <a:srgbClr val="bbe0e3"/>
                          </a:solidFill>
                          <a:ln w="9360">
                            <a:solidFill>
                              <a:srgbClr val="000000"/>
                            </a:solidFill>
                            <a:round/>
                          </a:ln>
                        </wps:spPr>
                        <wps:style>
                          <a:lnRef idx="0"/>
                          <a:fillRef idx="0"/>
                          <a:effectRef idx="0"/>
                          <a:fontRef idx="minor"/>
                        </wps:style>
                        <wps:txbx>
                          <w:txbxContent>
                            <w:p>
                              <w:pPr>
                                <w:overflowPunct w:val="false"/>
                                <w:bidi w:val="0"/>
                                <w:spacing w:before="0" w:after="0"/>
                                <w:jc w:val="center"/>
                                <w:rPr/>
                              </w:pPr>
                              <w:r>
                                <w:rPr>
                                  <w:sz w:val="16"/>
                                  <w:kern w:val="0"/>
                                  <w:szCs w:val="20"/>
                                  <w:rFonts w:ascii="Times New Roman" w:hAnsi="Times New Roman" w:eastAsia="Times New Roman" w:cs="Times New Roman"/>
                                  <w:color w:val="auto"/>
                                  <w:lang w:val="en-GB" w:eastAsia="en-GB" w:bidi="ar-SA"/>
                                </w:rPr>
                                <w:t xml:space="preserve">Head of Service Children in Care and Care Leavers </w:t>
                              </w:r>
                            </w:p>
                          </w:txbxContent>
                        </wps:txbx>
                        <wps:bodyPr lIns="0" rIns="0" tIns="0" bIns="0" anchor="ctr">
                          <a:noAutofit/>
                        </wps:bodyPr>
                      </wps:wsp>
                      <wps:wsp>
                        <wps:cNvSpPr/>
                        <wps:spPr>
                          <a:xfrm>
                            <a:off x="1454040" y="1469520"/>
                            <a:ext cx="1244520" cy="391320"/>
                          </a:xfrm>
                          <a:custGeom>
                            <a:avLst/>
                            <a:gdLst/>
                            <a:ahLst/>
                            <a:rect l="0" t="0" r="r" b="b"/>
                            <a:pathLst>
                              <a:path w="1962" h="618">
                                <a:moveTo>
                                  <a:pt x="51" y="0"/>
                                </a:moveTo>
                                <a:lnTo>
                                  <a:pt x="51" y="0"/>
                                </a:lnTo>
                                <a:cubicBezTo>
                                  <a:pt x="42" y="0"/>
                                  <a:pt x="34" y="2"/>
                                  <a:pt x="26" y="7"/>
                                </a:cubicBezTo>
                                <a:cubicBezTo>
                                  <a:pt x="18" y="11"/>
                                  <a:pt x="11" y="18"/>
                                  <a:pt x="7" y="26"/>
                                </a:cubicBezTo>
                                <a:cubicBezTo>
                                  <a:pt x="2" y="34"/>
                                  <a:pt x="0" y="42"/>
                                  <a:pt x="0" y="51"/>
                                </a:cubicBezTo>
                                <a:lnTo>
                                  <a:pt x="0" y="565"/>
                                </a:lnTo>
                                <a:lnTo>
                                  <a:pt x="0" y="566"/>
                                </a:lnTo>
                                <a:cubicBezTo>
                                  <a:pt x="0" y="575"/>
                                  <a:pt x="2" y="583"/>
                                  <a:pt x="7" y="591"/>
                                </a:cubicBezTo>
                                <a:cubicBezTo>
                                  <a:pt x="11" y="599"/>
                                  <a:pt x="18" y="606"/>
                                  <a:pt x="26" y="610"/>
                                </a:cubicBezTo>
                                <a:cubicBezTo>
                                  <a:pt x="34" y="615"/>
                                  <a:pt x="42" y="617"/>
                                  <a:pt x="51" y="617"/>
                                </a:cubicBezTo>
                                <a:lnTo>
                                  <a:pt x="1909" y="617"/>
                                </a:lnTo>
                                <a:lnTo>
                                  <a:pt x="1910" y="617"/>
                                </a:lnTo>
                                <a:cubicBezTo>
                                  <a:pt x="1919" y="617"/>
                                  <a:pt x="1927" y="615"/>
                                  <a:pt x="1935" y="610"/>
                                </a:cubicBezTo>
                                <a:cubicBezTo>
                                  <a:pt x="1943" y="606"/>
                                  <a:pt x="1950" y="599"/>
                                  <a:pt x="1954" y="591"/>
                                </a:cubicBezTo>
                                <a:cubicBezTo>
                                  <a:pt x="1959" y="583"/>
                                  <a:pt x="1961" y="575"/>
                                  <a:pt x="1961" y="566"/>
                                </a:cubicBezTo>
                                <a:lnTo>
                                  <a:pt x="1961" y="51"/>
                                </a:lnTo>
                                <a:lnTo>
                                  <a:pt x="1961" y="51"/>
                                </a:lnTo>
                                <a:lnTo>
                                  <a:pt x="1961" y="51"/>
                                </a:lnTo>
                                <a:cubicBezTo>
                                  <a:pt x="1961" y="42"/>
                                  <a:pt x="1959" y="34"/>
                                  <a:pt x="1954" y="26"/>
                                </a:cubicBezTo>
                                <a:cubicBezTo>
                                  <a:pt x="1950" y="18"/>
                                  <a:pt x="1943" y="11"/>
                                  <a:pt x="1935" y="7"/>
                                </a:cubicBezTo>
                                <a:cubicBezTo>
                                  <a:pt x="1927" y="2"/>
                                  <a:pt x="1919" y="0"/>
                                  <a:pt x="1910" y="0"/>
                                </a:cubicBezTo>
                                <a:lnTo>
                                  <a:pt x="51" y="0"/>
                                </a:lnTo>
                              </a:path>
                            </a:pathLst>
                          </a:custGeom>
                          <a:solidFill>
                            <a:srgbClr val="bbe0e3"/>
                          </a:solidFill>
                          <a:ln w="9360">
                            <a:solidFill>
                              <a:srgbClr val="000000"/>
                            </a:solidFill>
                            <a:round/>
                          </a:ln>
                        </wps:spPr>
                        <wps:style>
                          <a:lnRef idx="0"/>
                          <a:fillRef idx="0"/>
                          <a:effectRef idx="0"/>
                          <a:fontRef idx="minor"/>
                        </wps:style>
                        <wps:txbx>
                          <w:txbxContent>
                            <w:p>
                              <w:pPr>
                                <w:overflowPunct w:val="false"/>
                                <w:bidi w:val="0"/>
                                <w:spacing w:before="0" w:after="0"/>
                                <w:jc w:val="center"/>
                                <w:rPr/>
                              </w:pPr>
                              <w:r>
                                <w:rPr>
                                  <w:sz w:val="16"/>
                                  <w:kern w:val="0"/>
                                  <w:szCs w:val="20"/>
                                  <w:rFonts w:ascii="Times New Roman" w:hAnsi="Times New Roman" w:eastAsia="Times New Roman" w:cs="Times New Roman"/>
                                  <w:color w:val="auto"/>
                                  <w:lang w:val="en-GB" w:eastAsia="en-GB" w:bidi="ar-SA"/>
                                </w:rPr>
                                <w:t>Head of Service Family Help and MASH</w:t>
                              </w:r>
                            </w:p>
                          </w:txbxContent>
                        </wps:txbx>
                        <wps:bodyPr lIns="0" rIns="0" tIns="0" bIns="0" anchor="ctr">
                          <a:noAutofit/>
                        </wps:bodyPr>
                      </wps:wsp>
                      <wps:wsp>
                        <wps:cNvSpPr/>
                        <wps:spPr>
                          <a:xfrm>
                            <a:off x="2907000" y="1469520"/>
                            <a:ext cx="1244520" cy="391320"/>
                          </a:xfrm>
                          <a:custGeom>
                            <a:avLst/>
                            <a:gdLst/>
                            <a:ahLst/>
                            <a:rect l="0" t="0" r="r" b="b"/>
                            <a:pathLst>
                              <a:path w="1962" h="618">
                                <a:moveTo>
                                  <a:pt x="51" y="0"/>
                                </a:moveTo>
                                <a:lnTo>
                                  <a:pt x="51" y="0"/>
                                </a:lnTo>
                                <a:cubicBezTo>
                                  <a:pt x="42" y="0"/>
                                  <a:pt x="34" y="2"/>
                                  <a:pt x="26" y="7"/>
                                </a:cubicBezTo>
                                <a:cubicBezTo>
                                  <a:pt x="18" y="11"/>
                                  <a:pt x="11" y="18"/>
                                  <a:pt x="7" y="26"/>
                                </a:cubicBezTo>
                                <a:cubicBezTo>
                                  <a:pt x="2" y="34"/>
                                  <a:pt x="0" y="42"/>
                                  <a:pt x="0" y="51"/>
                                </a:cubicBezTo>
                                <a:lnTo>
                                  <a:pt x="0" y="565"/>
                                </a:lnTo>
                                <a:lnTo>
                                  <a:pt x="0" y="566"/>
                                </a:lnTo>
                                <a:cubicBezTo>
                                  <a:pt x="0" y="575"/>
                                  <a:pt x="2" y="583"/>
                                  <a:pt x="7" y="591"/>
                                </a:cubicBezTo>
                                <a:cubicBezTo>
                                  <a:pt x="11" y="599"/>
                                  <a:pt x="18" y="606"/>
                                  <a:pt x="26" y="610"/>
                                </a:cubicBezTo>
                                <a:cubicBezTo>
                                  <a:pt x="34" y="615"/>
                                  <a:pt x="42" y="617"/>
                                  <a:pt x="51" y="617"/>
                                </a:cubicBezTo>
                                <a:lnTo>
                                  <a:pt x="1909" y="617"/>
                                </a:lnTo>
                                <a:lnTo>
                                  <a:pt x="1910" y="617"/>
                                </a:lnTo>
                                <a:cubicBezTo>
                                  <a:pt x="1919" y="617"/>
                                  <a:pt x="1927" y="615"/>
                                  <a:pt x="1935" y="610"/>
                                </a:cubicBezTo>
                                <a:cubicBezTo>
                                  <a:pt x="1943" y="606"/>
                                  <a:pt x="1950" y="599"/>
                                  <a:pt x="1954" y="591"/>
                                </a:cubicBezTo>
                                <a:cubicBezTo>
                                  <a:pt x="1959" y="583"/>
                                  <a:pt x="1961" y="575"/>
                                  <a:pt x="1961" y="566"/>
                                </a:cubicBezTo>
                                <a:lnTo>
                                  <a:pt x="1961" y="51"/>
                                </a:lnTo>
                                <a:lnTo>
                                  <a:pt x="1961" y="51"/>
                                </a:lnTo>
                                <a:lnTo>
                                  <a:pt x="1961" y="51"/>
                                </a:lnTo>
                                <a:cubicBezTo>
                                  <a:pt x="1961" y="42"/>
                                  <a:pt x="1959" y="34"/>
                                  <a:pt x="1954" y="26"/>
                                </a:cubicBezTo>
                                <a:cubicBezTo>
                                  <a:pt x="1950" y="18"/>
                                  <a:pt x="1943" y="11"/>
                                  <a:pt x="1935" y="7"/>
                                </a:cubicBezTo>
                                <a:cubicBezTo>
                                  <a:pt x="1927" y="2"/>
                                  <a:pt x="1919" y="0"/>
                                  <a:pt x="1910" y="0"/>
                                </a:cubicBezTo>
                                <a:lnTo>
                                  <a:pt x="51" y="0"/>
                                </a:lnTo>
                              </a:path>
                            </a:pathLst>
                          </a:custGeom>
                          <a:solidFill>
                            <a:srgbClr val="bbe0e3"/>
                          </a:solidFill>
                          <a:ln w="9360">
                            <a:solidFill>
                              <a:srgbClr val="000000"/>
                            </a:solidFill>
                            <a:round/>
                          </a:ln>
                        </wps:spPr>
                        <wps:style>
                          <a:lnRef idx="0"/>
                          <a:fillRef idx="0"/>
                          <a:effectRef idx="0"/>
                          <a:fontRef idx="minor"/>
                        </wps:style>
                        <wps:txbx>
                          <w:txbxContent>
                            <w:p>
                              <w:pPr>
                                <w:overflowPunct w:val="false"/>
                                <w:bidi w:val="0"/>
                                <w:spacing w:before="0" w:after="0"/>
                                <w:jc w:val="left"/>
                                <w:rPr/>
                              </w:pPr>
                              <w:r>
                                <w:rPr>
                                  <w:sz w:val="16"/>
                                  <w:kern w:val="0"/>
                                  <w:szCs w:val="20"/>
                                  <w:rFonts w:ascii="Times New Roman" w:hAnsi="Times New Roman" w:eastAsia="Times New Roman" w:cs="Times New Roman"/>
                                  <w:color w:val="auto"/>
                                  <w:lang w:val="en-GB" w:eastAsia="en-GB" w:bidi="ar-SA"/>
                                </w:rPr>
                                <w:t>Head of Service Family Help and Disabled Children</w:t>
                              </w:r>
                            </w:p>
                          </w:txbxContent>
                        </wps:txbx>
                        <wps:bodyPr lIns="0" rIns="0" tIns="0" bIns="0" anchor="ctr">
                          <a:noAutofit/>
                        </wps:bodyPr>
                      </wps:wsp>
                      <wps:wsp>
                        <wps:cNvSpPr/>
                        <wps:spPr>
                          <a:xfrm>
                            <a:off x="4360680" y="1469520"/>
                            <a:ext cx="1243800" cy="391320"/>
                          </a:xfrm>
                          <a:custGeom>
                            <a:avLst/>
                            <a:gdLst/>
                            <a:ahLst/>
                            <a:rect l="0" t="0" r="r" b="b"/>
                            <a:pathLst>
                              <a:path w="1961" h="618">
                                <a:moveTo>
                                  <a:pt x="51" y="0"/>
                                </a:moveTo>
                                <a:lnTo>
                                  <a:pt x="51" y="0"/>
                                </a:lnTo>
                                <a:cubicBezTo>
                                  <a:pt x="42" y="0"/>
                                  <a:pt x="34" y="2"/>
                                  <a:pt x="26" y="7"/>
                                </a:cubicBezTo>
                                <a:cubicBezTo>
                                  <a:pt x="18" y="11"/>
                                  <a:pt x="11" y="18"/>
                                  <a:pt x="7" y="26"/>
                                </a:cubicBezTo>
                                <a:cubicBezTo>
                                  <a:pt x="2" y="34"/>
                                  <a:pt x="0" y="42"/>
                                  <a:pt x="0" y="51"/>
                                </a:cubicBezTo>
                                <a:lnTo>
                                  <a:pt x="0" y="565"/>
                                </a:lnTo>
                                <a:lnTo>
                                  <a:pt x="0" y="566"/>
                                </a:lnTo>
                                <a:cubicBezTo>
                                  <a:pt x="0" y="575"/>
                                  <a:pt x="2" y="583"/>
                                  <a:pt x="7" y="591"/>
                                </a:cubicBezTo>
                                <a:cubicBezTo>
                                  <a:pt x="11" y="599"/>
                                  <a:pt x="18" y="606"/>
                                  <a:pt x="26" y="610"/>
                                </a:cubicBezTo>
                                <a:cubicBezTo>
                                  <a:pt x="34" y="615"/>
                                  <a:pt x="42" y="617"/>
                                  <a:pt x="51" y="617"/>
                                </a:cubicBezTo>
                                <a:lnTo>
                                  <a:pt x="1908" y="617"/>
                                </a:lnTo>
                                <a:lnTo>
                                  <a:pt x="1909" y="617"/>
                                </a:lnTo>
                                <a:cubicBezTo>
                                  <a:pt x="1918" y="617"/>
                                  <a:pt x="1926" y="615"/>
                                  <a:pt x="1934" y="610"/>
                                </a:cubicBezTo>
                                <a:cubicBezTo>
                                  <a:pt x="1942" y="606"/>
                                  <a:pt x="1949" y="599"/>
                                  <a:pt x="1953" y="591"/>
                                </a:cubicBezTo>
                                <a:cubicBezTo>
                                  <a:pt x="1958" y="583"/>
                                  <a:pt x="1960" y="575"/>
                                  <a:pt x="1960" y="566"/>
                                </a:cubicBezTo>
                                <a:lnTo>
                                  <a:pt x="1960" y="51"/>
                                </a:lnTo>
                                <a:lnTo>
                                  <a:pt x="1960" y="51"/>
                                </a:lnTo>
                                <a:lnTo>
                                  <a:pt x="1960" y="51"/>
                                </a:lnTo>
                                <a:cubicBezTo>
                                  <a:pt x="1960" y="42"/>
                                  <a:pt x="1958" y="34"/>
                                  <a:pt x="1953" y="26"/>
                                </a:cubicBezTo>
                                <a:cubicBezTo>
                                  <a:pt x="1949" y="18"/>
                                  <a:pt x="1942" y="11"/>
                                  <a:pt x="1934" y="7"/>
                                </a:cubicBezTo>
                                <a:cubicBezTo>
                                  <a:pt x="1926" y="2"/>
                                  <a:pt x="1918" y="0"/>
                                  <a:pt x="1909" y="0"/>
                                </a:cubicBezTo>
                                <a:lnTo>
                                  <a:pt x="51" y="0"/>
                                </a:lnTo>
                              </a:path>
                            </a:pathLst>
                          </a:custGeom>
                          <a:solidFill>
                            <a:srgbClr val="bbe0e3"/>
                          </a:solidFill>
                          <a:ln w="9360">
                            <a:solidFill>
                              <a:srgbClr val="000000"/>
                            </a:solidFill>
                            <a:round/>
                          </a:ln>
                        </wps:spPr>
                        <wps:style>
                          <a:lnRef idx="0"/>
                          <a:fillRef idx="0"/>
                          <a:effectRef idx="0"/>
                          <a:fontRef idx="minor"/>
                        </wps:style>
                        <wps:txbx>
                          <w:txbxContent>
                            <w:p>
                              <w:pPr>
                                <w:overflowPunct w:val="false"/>
                                <w:bidi w:val="0"/>
                                <w:spacing w:before="0" w:after="0"/>
                                <w:jc w:val="center"/>
                                <w:rPr/>
                              </w:pPr>
                              <w:r>
                                <w:rPr>
                                  <w:sz w:val="16"/>
                                  <w:kern w:val="0"/>
                                  <w:szCs w:val="20"/>
                                  <w:rFonts w:ascii="Times New Roman" w:hAnsi="Times New Roman" w:eastAsia="Times New Roman" w:cs="Times New Roman"/>
                                  <w:color w:val="auto"/>
                                  <w:lang w:val="en-GB" w:eastAsia="en-GB" w:bidi="ar-SA"/>
                                </w:rPr>
                                <w:t>Head of Service Safeguarding and Quality Assurance</w:t>
                              </w:r>
                            </w:p>
                          </w:txbxContent>
                        </wps:txbx>
                        <wps:bodyPr lIns="0" rIns="0" tIns="0" bIns="0" anchor="ctr">
                          <a:noAutofit/>
                        </wps:bodyPr>
                      </wps:wsp>
                      <wps:wsp>
                        <wps:cNvSpPr/>
                        <wps:spPr>
                          <a:xfrm>
                            <a:off x="5813280" y="1469520"/>
                            <a:ext cx="1244520" cy="391320"/>
                          </a:xfrm>
                          <a:custGeom>
                            <a:avLst/>
                            <a:gdLst/>
                            <a:ahLst/>
                            <a:rect l="0" t="0" r="r" b="b"/>
                            <a:pathLst>
                              <a:path w="1962" h="618">
                                <a:moveTo>
                                  <a:pt x="51" y="0"/>
                                </a:moveTo>
                                <a:lnTo>
                                  <a:pt x="51" y="0"/>
                                </a:lnTo>
                                <a:cubicBezTo>
                                  <a:pt x="42" y="0"/>
                                  <a:pt x="34" y="2"/>
                                  <a:pt x="26" y="7"/>
                                </a:cubicBezTo>
                                <a:cubicBezTo>
                                  <a:pt x="18" y="11"/>
                                  <a:pt x="11" y="18"/>
                                  <a:pt x="7" y="26"/>
                                </a:cubicBezTo>
                                <a:cubicBezTo>
                                  <a:pt x="2" y="34"/>
                                  <a:pt x="0" y="42"/>
                                  <a:pt x="0" y="51"/>
                                </a:cubicBezTo>
                                <a:lnTo>
                                  <a:pt x="0" y="565"/>
                                </a:lnTo>
                                <a:lnTo>
                                  <a:pt x="0" y="566"/>
                                </a:lnTo>
                                <a:cubicBezTo>
                                  <a:pt x="0" y="575"/>
                                  <a:pt x="2" y="583"/>
                                  <a:pt x="7" y="591"/>
                                </a:cubicBezTo>
                                <a:cubicBezTo>
                                  <a:pt x="11" y="599"/>
                                  <a:pt x="18" y="606"/>
                                  <a:pt x="26" y="610"/>
                                </a:cubicBezTo>
                                <a:cubicBezTo>
                                  <a:pt x="34" y="615"/>
                                  <a:pt x="42" y="617"/>
                                  <a:pt x="51" y="617"/>
                                </a:cubicBezTo>
                                <a:lnTo>
                                  <a:pt x="1909" y="617"/>
                                </a:lnTo>
                                <a:lnTo>
                                  <a:pt x="1910" y="617"/>
                                </a:lnTo>
                                <a:cubicBezTo>
                                  <a:pt x="1919" y="617"/>
                                  <a:pt x="1927" y="615"/>
                                  <a:pt x="1935" y="610"/>
                                </a:cubicBezTo>
                                <a:cubicBezTo>
                                  <a:pt x="1943" y="606"/>
                                  <a:pt x="1950" y="599"/>
                                  <a:pt x="1954" y="591"/>
                                </a:cubicBezTo>
                                <a:cubicBezTo>
                                  <a:pt x="1959" y="583"/>
                                  <a:pt x="1961" y="575"/>
                                  <a:pt x="1961" y="566"/>
                                </a:cubicBezTo>
                                <a:lnTo>
                                  <a:pt x="1961" y="51"/>
                                </a:lnTo>
                                <a:lnTo>
                                  <a:pt x="1961" y="51"/>
                                </a:lnTo>
                                <a:lnTo>
                                  <a:pt x="1961" y="51"/>
                                </a:lnTo>
                                <a:cubicBezTo>
                                  <a:pt x="1961" y="42"/>
                                  <a:pt x="1959" y="34"/>
                                  <a:pt x="1954" y="26"/>
                                </a:cubicBezTo>
                                <a:cubicBezTo>
                                  <a:pt x="1950" y="18"/>
                                  <a:pt x="1943" y="11"/>
                                  <a:pt x="1935" y="7"/>
                                </a:cubicBezTo>
                                <a:cubicBezTo>
                                  <a:pt x="1927" y="2"/>
                                  <a:pt x="1919" y="0"/>
                                  <a:pt x="1910" y="0"/>
                                </a:cubicBezTo>
                                <a:lnTo>
                                  <a:pt x="51" y="0"/>
                                </a:lnTo>
                              </a:path>
                            </a:pathLst>
                          </a:custGeom>
                          <a:solidFill>
                            <a:srgbClr val="bbe0e3"/>
                          </a:solidFill>
                          <a:ln w="9360">
                            <a:solidFill>
                              <a:srgbClr val="000000"/>
                            </a:solidFill>
                            <a:round/>
                          </a:ln>
                        </wps:spPr>
                        <wps:style>
                          <a:lnRef idx="0"/>
                          <a:fillRef idx="0"/>
                          <a:effectRef idx="0"/>
                          <a:fontRef idx="minor"/>
                        </wps:style>
                        <wps:txbx>
                          <w:txbxContent>
                            <w:p>
                              <w:pPr>
                                <w:overflowPunct w:val="false"/>
                                <w:bidi w:val="0"/>
                                <w:spacing w:before="0" w:after="0"/>
                                <w:jc w:val="center"/>
                                <w:rPr/>
                              </w:pPr>
                              <w:r>
                                <w:rPr>
                                  <w:sz w:val="16"/>
                                  <w:kern w:val="0"/>
                                  <w:szCs w:val="20"/>
                                  <w:rFonts w:ascii="Times New Roman" w:hAnsi="Times New Roman" w:eastAsia="Times New Roman" w:cs="Times New Roman"/>
                                  <w:color w:val="auto"/>
                                  <w:lang w:val="en-GB" w:eastAsia="en-GB" w:bidi="ar-SA"/>
                                </w:rPr>
                                <w:t>Headteacher Virtual School and HEART</w:t>
                              </w:r>
                            </w:p>
                          </w:txbxContent>
                        </wps:txbx>
                        <wps:bodyPr lIns="0" rIns="0" tIns="0" bIns="0" anchor="ctr">
                          <a:noAutofit/>
                        </wps:bodyPr>
                      </wps:wsp>
                      <wps:wsp>
                        <wps:cNvSpPr/>
                        <wps:spPr>
                          <a:xfrm>
                            <a:off x="720" y="2057400"/>
                            <a:ext cx="1243800" cy="391320"/>
                          </a:xfrm>
                          <a:custGeom>
                            <a:avLst/>
                            <a:gdLst/>
                            <a:ahLst/>
                            <a:rect l="0" t="0" r="r" b="b"/>
                            <a:pathLst>
                              <a:path w="1961" h="618">
                                <a:moveTo>
                                  <a:pt x="51" y="0"/>
                                </a:moveTo>
                                <a:lnTo>
                                  <a:pt x="51" y="0"/>
                                </a:lnTo>
                                <a:cubicBezTo>
                                  <a:pt x="42" y="0"/>
                                  <a:pt x="34" y="2"/>
                                  <a:pt x="26" y="7"/>
                                </a:cubicBezTo>
                                <a:cubicBezTo>
                                  <a:pt x="18" y="11"/>
                                  <a:pt x="11" y="18"/>
                                  <a:pt x="7" y="26"/>
                                </a:cubicBezTo>
                                <a:cubicBezTo>
                                  <a:pt x="2" y="34"/>
                                  <a:pt x="0" y="42"/>
                                  <a:pt x="0" y="51"/>
                                </a:cubicBezTo>
                                <a:lnTo>
                                  <a:pt x="0" y="565"/>
                                </a:lnTo>
                                <a:lnTo>
                                  <a:pt x="0" y="566"/>
                                </a:lnTo>
                                <a:cubicBezTo>
                                  <a:pt x="0" y="575"/>
                                  <a:pt x="2" y="583"/>
                                  <a:pt x="7" y="591"/>
                                </a:cubicBezTo>
                                <a:cubicBezTo>
                                  <a:pt x="11" y="599"/>
                                  <a:pt x="18" y="606"/>
                                  <a:pt x="26" y="610"/>
                                </a:cubicBezTo>
                                <a:cubicBezTo>
                                  <a:pt x="34" y="615"/>
                                  <a:pt x="42" y="617"/>
                                  <a:pt x="51" y="617"/>
                                </a:cubicBezTo>
                                <a:lnTo>
                                  <a:pt x="1908" y="617"/>
                                </a:lnTo>
                                <a:lnTo>
                                  <a:pt x="1909" y="617"/>
                                </a:lnTo>
                                <a:cubicBezTo>
                                  <a:pt x="1918" y="617"/>
                                  <a:pt x="1926" y="615"/>
                                  <a:pt x="1934" y="610"/>
                                </a:cubicBezTo>
                                <a:cubicBezTo>
                                  <a:pt x="1942" y="606"/>
                                  <a:pt x="1949" y="599"/>
                                  <a:pt x="1953" y="591"/>
                                </a:cubicBezTo>
                                <a:cubicBezTo>
                                  <a:pt x="1958" y="583"/>
                                  <a:pt x="1960" y="575"/>
                                  <a:pt x="1960" y="566"/>
                                </a:cubicBezTo>
                                <a:lnTo>
                                  <a:pt x="1960" y="51"/>
                                </a:lnTo>
                                <a:lnTo>
                                  <a:pt x="1960" y="51"/>
                                </a:lnTo>
                                <a:lnTo>
                                  <a:pt x="1960" y="51"/>
                                </a:lnTo>
                                <a:cubicBezTo>
                                  <a:pt x="1960" y="42"/>
                                  <a:pt x="1958" y="34"/>
                                  <a:pt x="1953" y="26"/>
                                </a:cubicBezTo>
                                <a:cubicBezTo>
                                  <a:pt x="1949" y="18"/>
                                  <a:pt x="1942" y="11"/>
                                  <a:pt x="1934" y="7"/>
                                </a:cubicBezTo>
                                <a:cubicBezTo>
                                  <a:pt x="1926" y="2"/>
                                  <a:pt x="1918" y="0"/>
                                  <a:pt x="1909" y="0"/>
                                </a:cubicBezTo>
                                <a:lnTo>
                                  <a:pt x="51" y="0"/>
                                </a:lnTo>
                              </a:path>
                            </a:pathLst>
                          </a:custGeom>
                          <a:solidFill>
                            <a:srgbClr val="bbe0e3"/>
                          </a:solidFill>
                          <a:ln w="9360">
                            <a:solidFill>
                              <a:srgbClr val="000000"/>
                            </a:solidFill>
                            <a:round/>
                          </a:ln>
                        </wps:spPr>
                        <wps:style>
                          <a:lnRef idx="0"/>
                          <a:fillRef idx="0"/>
                          <a:effectRef idx="0"/>
                          <a:fontRef idx="minor"/>
                        </wps:style>
                        <wps:txbx>
                          <w:txbxContent>
                            <w:p>
                              <w:pPr>
                                <w:overflowPunct w:val="false"/>
                                <w:bidi w:val="0"/>
                                <w:spacing w:before="0" w:after="0"/>
                                <w:jc w:val="center"/>
                                <w:rPr/>
                              </w:pPr>
                              <w:r>
                                <w:rPr>
                                  <w:sz w:val="16"/>
                                  <w:kern w:val="0"/>
                                  <w:szCs w:val="20"/>
                                  <w:rFonts w:ascii="Times New Roman" w:hAnsi="Times New Roman" w:eastAsia="Times New Roman" w:cs="Times New Roman"/>
                                  <w:color w:val="auto"/>
                                  <w:lang w:val="en-GB" w:eastAsia="en-GB" w:bidi="ar-SA"/>
                                </w:rPr>
                                <w:t>Service Manager Children in Care</w:t>
                              </w:r>
                            </w:p>
                          </w:txbxContent>
                        </wps:txbx>
                        <wps:bodyPr lIns="0" rIns="0" tIns="0" bIns="0" anchor="ctr">
                          <a:noAutofit/>
                        </wps:bodyPr>
                      </wps:wsp>
                    </wpg:wgp>
                  </a:graphicData>
                </a:graphic>
              </wp:inline>
            </w:drawing>
          </mc:Choice>
          <mc:Fallback>
            <w:pict>
              <v:group id="shape_0" style="position:absolute;margin-left:0pt;margin-top:0pt;width:555.75pt;height:192.8pt" coordorigin="0,0" coordsize="11115,3856">
                <v:rect id="shape_0" stroked="f" style="position:absolute;left:0;top:1388;width:11113;height:2467;mso-position-horizontal-relative:char">
                  <w10:wrap type="none"/>
                  <v:fill o:detectmouseclick="t" on="false"/>
                  <v:stroke color="#3465a4" joinstyle="round" endcap="flat"/>
                </v:rect>
                <v:shapetype id="shapetype_32" coordsize="21600,21600" o:spt="32" path="m,l21600,21600nfe">
                  <v:stroke joinstyle="miter"/>
                  <v:path gradientshapeok="t" o:connecttype="rect" textboxrect="0,0,21600,21600"/>
                </v:shapetype>
                <v:shape id="shape_0" ID="_s2070" stroked="t" style="position:absolute;left:1145;top:3084;width:0;height:0;mso-position-horizontal-relative:char" type="shapetype_32">
                  <v:stroke color="black" weight="28440" joinstyle="round" endcap="flat"/>
                  <v:fill o:detectmouseclick="t" on="false"/>
                </v:shape>
                <v:shape id="shape_0" ID="_s2068" stroked="t" style="position:absolute;left:7683;top:1;width:0;height:0;mso-position-horizontal-relative:char" type="shapetype_32">
                  <v:stroke color="black" weight="28440" joinstyle="miter" endcap="flat"/>
                  <v:fill o:detectmouseclick="t" on="false"/>
                </v:shape>
                <v:shape id="shape_0" ID="_s2066" stroked="t" style="position:absolute;left:6539;top:1079;width:0;height:0;mso-position-horizontal-relative:char" type="shapetype_32">
                  <v:stroke color="black" weight="28440" joinstyle="miter" endcap="flat"/>
                  <v:fill o:detectmouseclick="t" on="false"/>
                </v:shape>
                <v:shape id="shape_0" ID="_s2064" stroked="t" style="position:absolute;left:5397;top:2159;width:0;height:0;mso-position-horizontal-relative:char" type="shapetype_32">
                  <v:stroke color="black" weight="28440" joinstyle="miter" endcap="flat"/>
                  <v:fill o:detectmouseclick="t" on="false"/>
                </v:shape>
                <v:shape id="shape_0" ID="_s2063" stroked="t" style="position:absolute;left:4577;top:1079;width:0;height:0;mso-position-horizontal-relative:char" type="shapetype_32">
                  <v:stroke color="black" weight="28440" joinstyle="miter" endcap="flat"/>
                  <v:fill o:detectmouseclick="t" on="false"/>
                </v:shape>
                <v:shape id="shape_0" ID="_s2062" stroked="t" style="position:absolute;left:3431;top:0;width:0;height:0;mso-position-horizontal-relative:char" type="shapetype_32">
                  <v:stroke color="black" weight="28440" joinstyle="miter" endcap="flat"/>
                  <v:fill o:detectmouseclick="t" on="false"/>
                </v:shape>
                <v:roundrect id="shape_0" ID="_s2058" fillcolor="#bbe0e3" stroked="t" style="position:absolute;left:4577;top:1388;width:1959;height:615;mso-position-horizontal-relative:char">
                  <v:textbox>
                    <w:txbxContent>
                      <w:p>
                        <w:pPr>
                          <w:overflowPunct w:val="false"/>
                          <w:bidi w:val="0"/>
                          <w:spacing w:before="0" w:after="0"/>
                          <w:jc w:val="center"/>
                          <w:rPr/>
                        </w:pPr>
                        <w:r>
                          <w:rPr>
                            <w:sz w:val="16"/>
                            <w:kern w:val="0"/>
                            <w:szCs w:val="20"/>
                            <w:rFonts w:ascii="Times New Roman" w:hAnsi="Times New Roman" w:eastAsia="Times New Roman" w:cs="Times New Roman"/>
                            <w:color w:val="auto"/>
                            <w:lang w:val="en-GB" w:eastAsia="en-GB" w:bidi="ar-SA"/>
                          </w:rPr>
                          <w:t>Director Children’s Social Care</w:t>
                        </w:r>
                      </w:p>
                    </w:txbxContent>
                  </v:textbox>
                  <w10:wrap type="square"/>
                  <v:fill o:detectmouseclick="t" type="solid" color2="#441f1c"/>
                  <v:stroke color="black" weight="9360" joinstyle="round" endcap="flat"/>
                </v:roundrect>
                <v:roundrect id="shape_0" ID="_s2059" fillcolor="#bbe0e3" stroked="t" style="position:absolute;left:1;top:2314;width:1959;height:615;mso-position-horizontal-relative:char">
                  <v:textbox>
                    <w:txbxContent>
                      <w:p>
                        <w:pPr>
                          <w:overflowPunct w:val="false"/>
                          <w:bidi w:val="0"/>
                          <w:spacing w:before="0" w:after="0"/>
                          <w:jc w:val="center"/>
                          <w:rPr/>
                        </w:pPr>
                        <w:r>
                          <w:rPr>
                            <w:sz w:val="16"/>
                            <w:kern w:val="0"/>
                            <w:szCs w:val="20"/>
                            <w:rFonts w:ascii="Times New Roman" w:hAnsi="Times New Roman" w:eastAsia="Times New Roman" w:cs="Times New Roman"/>
                            <w:color w:val="auto"/>
                            <w:lang w:val="en-GB" w:eastAsia="en-GB" w:bidi="ar-SA"/>
                          </w:rPr>
                          <w:t xml:space="preserve">Head of Service Children in Care and Care Leavers </w:t>
                        </w:r>
                      </w:p>
                    </w:txbxContent>
                  </v:textbox>
                  <w10:wrap type="square"/>
                  <v:fill o:detectmouseclick="t" type="solid" color2="#441f1c"/>
                  <v:stroke color="black" weight="9360" joinstyle="round" endcap="flat"/>
                </v:roundrect>
                <v:roundrect id="shape_0" ID="_s2060" fillcolor="#bbe0e3" stroked="t" style="position:absolute;left:2290;top:2314;width:1959;height:615;mso-position-horizontal-relative:char">
                  <v:textbox>
                    <w:txbxContent>
                      <w:p>
                        <w:pPr>
                          <w:overflowPunct w:val="false"/>
                          <w:bidi w:val="0"/>
                          <w:spacing w:before="0" w:after="0"/>
                          <w:jc w:val="center"/>
                          <w:rPr/>
                        </w:pPr>
                        <w:r>
                          <w:rPr>
                            <w:sz w:val="16"/>
                            <w:kern w:val="0"/>
                            <w:szCs w:val="20"/>
                            <w:rFonts w:ascii="Times New Roman" w:hAnsi="Times New Roman" w:eastAsia="Times New Roman" w:cs="Times New Roman"/>
                            <w:color w:val="auto"/>
                            <w:lang w:val="en-GB" w:eastAsia="en-GB" w:bidi="ar-SA"/>
                          </w:rPr>
                          <w:t>Head of Service Family Help and MASH</w:t>
                        </w:r>
                      </w:p>
                    </w:txbxContent>
                  </v:textbox>
                  <w10:wrap type="square"/>
                  <v:fill o:detectmouseclick="t" type="solid" color2="#441f1c"/>
                  <v:stroke color="black" weight="9360" joinstyle="round" endcap="flat"/>
                </v:roundrect>
                <v:roundrect id="shape_0" ID="_s2061" fillcolor="#bbe0e3" stroked="t" style="position:absolute;left:4578;top:2314;width:1959;height:615;mso-position-horizontal-relative:char">
                  <v:textbox>
                    <w:txbxContent>
                      <w:p>
                        <w:pPr>
                          <w:overflowPunct w:val="false"/>
                          <w:bidi w:val="0"/>
                          <w:spacing w:before="0" w:after="0"/>
                          <w:jc w:val="left"/>
                          <w:rPr/>
                        </w:pPr>
                        <w:r>
                          <w:rPr>
                            <w:sz w:val="16"/>
                            <w:kern w:val="0"/>
                            <w:szCs w:val="20"/>
                            <w:rFonts w:ascii="Times New Roman" w:hAnsi="Times New Roman" w:eastAsia="Times New Roman" w:cs="Times New Roman"/>
                            <w:color w:val="auto"/>
                            <w:lang w:val="en-GB" w:eastAsia="en-GB" w:bidi="ar-SA"/>
                          </w:rPr>
                          <w:t>Head of Service Family Help and Disabled Children</w:t>
                        </w:r>
                      </w:p>
                    </w:txbxContent>
                  </v:textbox>
                  <w10:wrap type="square"/>
                  <v:fill o:detectmouseclick="t" type="solid" color2="#441f1c"/>
                  <v:stroke color="black" weight="9360" joinstyle="round" endcap="flat"/>
                </v:roundrect>
                <v:roundrect id="shape_0" ID="_s2065" fillcolor="#bbe0e3" stroked="t" style="position:absolute;left:6867;top:2314;width:1958;height:615;mso-position-horizontal-relative:char">
                  <v:textbox>
                    <w:txbxContent>
                      <w:p>
                        <w:pPr>
                          <w:overflowPunct w:val="false"/>
                          <w:bidi w:val="0"/>
                          <w:spacing w:before="0" w:after="0"/>
                          <w:jc w:val="center"/>
                          <w:rPr/>
                        </w:pPr>
                        <w:r>
                          <w:rPr>
                            <w:sz w:val="16"/>
                            <w:kern w:val="0"/>
                            <w:szCs w:val="20"/>
                            <w:rFonts w:ascii="Times New Roman" w:hAnsi="Times New Roman" w:eastAsia="Times New Roman" w:cs="Times New Roman"/>
                            <w:color w:val="auto"/>
                            <w:lang w:val="en-GB" w:eastAsia="en-GB" w:bidi="ar-SA"/>
                          </w:rPr>
                          <w:t>Head of Service Safeguarding and Quality Assurance</w:t>
                        </w:r>
                      </w:p>
                    </w:txbxContent>
                  </v:textbox>
                  <w10:wrap type="square"/>
                  <v:fill o:detectmouseclick="t" type="solid" color2="#441f1c"/>
                  <v:stroke color="black" weight="9360" joinstyle="round" endcap="flat"/>
                </v:roundrect>
                <v:roundrect id="shape_0" ID="_s2067" fillcolor="#bbe0e3" stroked="t" style="position:absolute;left:9155;top:2314;width:1959;height:615;mso-position-horizontal-relative:char">
                  <v:textbox>
                    <w:txbxContent>
                      <w:p>
                        <w:pPr>
                          <w:overflowPunct w:val="false"/>
                          <w:bidi w:val="0"/>
                          <w:spacing w:before="0" w:after="0"/>
                          <w:jc w:val="center"/>
                          <w:rPr/>
                        </w:pPr>
                        <w:r>
                          <w:rPr>
                            <w:sz w:val="16"/>
                            <w:kern w:val="0"/>
                            <w:szCs w:val="20"/>
                            <w:rFonts w:ascii="Times New Roman" w:hAnsi="Times New Roman" w:eastAsia="Times New Roman" w:cs="Times New Roman"/>
                            <w:color w:val="auto"/>
                            <w:lang w:val="en-GB" w:eastAsia="en-GB" w:bidi="ar-SA"/>
                          </w:rPr>
                          <w:t>Headteacher Virtual School and HEART</w:t>
                        </w:r>
                      </w:p>
                    </w:txbxContent>
                  </v:textbox>
                  <w10:wrap type="square"/>
                  <v:fill o:detectmouseclick="t" type="solid" color2="#441f1c"/>
                  <v:stroke color="black" weight="9360" joinstyle="round" endcap="flat"/>
                </v:roundrect>
                <v:roundrect id="shape_0" ID="_s2069" fillcolor="#bbe0e3" stroked="t" style="position:absolute;left:1;top:3240;width:1958;height:615;mso-position-horizontal-relative:char">
                  <v:textbox>
                    <w:txbxContent>
                      <w:p>
                        <w:pPr>
                          <w:overflowPunct w:val="false"/>
                          <w:bidi w:val="0"/>
                          <w:spacing w:before="0" w:after="0"/>
                          <w:jc w:val="center"/>
                          <w:rPr/>
                        </w:pPr>
                        <w:r>
                          <w:rPr>
                            <w:sz w:val="16"/>
                            <w:kern w:val="0"/>
                            <w:szCs w:val="20"/>
                            <w:rFonts w:ascii="Times New Roman" w:hAnsi="Times New Roman" w:eastAsia="Times New Roman" w:cs="Times New Roman"/>
                            <w:color w:val="auto"/>
                            <w:lang w:val="en-GB" w:eastAsia="en-GB" w:bidi="ar-SA"/>
                          </w:rPr>
                          <w:t>Service Manager Children in Care</w:t>
                        </w:r>
                      </w:p>
                    </w:txbxContent>
                  </v:textbox>
                  <w10:wrap type="square"/>
                  <v:fill o:detectmouseclick="t" type="solid" color2="#441f1c"/>
                  <v:stroke color="black" weight="9360" joinstyle="round" endcap="flat"/>
                </v:roundrect>
              </v:group>
            </w:pict>
          </mc:Fallback>
        </mc:AlternateConten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numPr>
          <w:ilvl w:val="0"/>
          <w:numId w:val="2"/>
        </w:numPr>
        <w:ind w:left="284" w:right="0" w:hanging="284"/>
        <w:rPr>
          <w:rFonts w:ascii="Arial" w:hAnsi="Arial" w:cs="Arial"/>
          <w:sz w:val="22"/>
        </w:rPr>
      </w:pPr>
      <w:r>
        <w:rPr>
          <w:rFonts w:cs="Arial" w:ascii="Arial" w:hAnsi="Arial"/>
          <w:sz w:val="22"/>
        </w:rPr>
        <w:t>Number of direct reports:</w:t>
      </w:r>
    </w:p>
    <w:p>
      <w:pPr>
        <w:pStyle w:val="Normal"/>
        <w:ind w:left="284" w:right="0" w:hanging="0"/>
        <w:rPr>
          <w:rFonts w:ascii="Arial" w:hAnsi="Arial" w:cs="Arial"/>
          <w:sz w:val="22"/>
        </w:rPr>
      </w:pPr>
      <w:r>
        <w:rPr>
          <w:rFonts w:cs="Arial" w:ascii="Arial" w:hAnsi="Arial"/>
          <w:sz w:val="22"/>
        </w:rPr>
      </w:r>
    </w:p>
    <w:p>
      <w:pPr>
        <w:pStyle w:val="Normal"/>
        <w:ind w:left="284" w:right="0" w:hanging="0"/>
        <w:rPr>
          <w:rFonts w:ascii="Arial" w:hAnsi="Arial" w:cs="Arial"/>
          <w:sz w:val="22"/>
        </w:rPr>
      </w:pPr>
      <w:r>
        <w:rPr>
          <w:rFonts w:cs="Arial" w:ascii="Arial" w:hAnsi="Arial"/>
          <w:sz w:val="22"/>
        </w:rPr>
        <w:t>The Service Manager has up to 7 Team Managers reporting to them</w:t>
      </w:r>
    </w:p>
    <w:p>
      <w:pPr>
        <w:pStyle w:val="Normal"/>
        <w:rPr>
          <w:rFonts w:ascii="Arial" w:hAnsi="Arial" w:cs="Arial"/>
          <w:sz w:val="22"/>
        </w:rPr>
      </w:pPr>
      <w:r>
        <w:rPr>
          <w:rFonts w:cs="Arial" w:ascii="Arial" w:hAnsi="Arial"/>
          <w:sz w:val="22"/>
        </w:rPr>
      </w:r>
    </w:p>
    <w:p>
      <w:pPr>
        <w:pStyle w:val="Normal"/>
        <w:numPr>
          <w:ilvl w:val="0"/>
          <w:numId w:val="2"/>
        </w:numPr>
        <w:ind w:left="284" w:right="0" w:hanging="284"/>
        <w:rPr>
          <w:rFonts w:ascii="Arial" w:hAnsi="Arial" w:cs="Arial"/>
          <w:sz w:val="22"/>
        </w:rPr>
      </w:pPr>
      <w:r>
        <w:rPr>
          <w:rFonts w:cs="Arial" w:ascii="Arial" w:hAnsi="Arial"/>
          <w:sz w:val="22"/>
        </w:rPr>
        <w:t xml:space="preserve">Nature of reporting relationship between post holder and line manager  </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 xml:space="preserve">The post holder will receive monthly supervision. As a senior officer within Children and Family Services, the post holder will be required to make high level strategic, financial and operational decisions, in line with the Scheme of Delegated Responsibility. </w:t>
      </w:r>
    </w:p>
    <w:p>
      <w:pPr>
        <w:pStyle w:val="Normal"/>
        <w:rPr>
          <w:rFonts w:ascii="Arial" w:hAnsi="Arial" w:cs="Arial"/>
          <w:sz w:val="22"/>
        </w:rPr>
      </w:pPr>
      <w:r>
        <w:rPr>
          <w:rFonts w:cs="Arial" w:ascii="Arial" w:hAnsi="Arial"/>
          <w:sz w:val="22"/>
        </w:rPr>
      </w:r>
    </w:p>
    <w:p>
      <w:pPr>
        <w:pStyle w:val="Normal"/>
        <w:rPr>
          <w:rFonts w:ascii="Arial" w:hAnsi="Arial" w:cs="Arial"/>
          <w:sz w:val="22"/>
          <w:szCs w:val="22"/>
        </w:rPr>
      </w:pPr>
      <w:r>
        <w:rPr>
          <w:rFonts w:cs="Arial" w:ascii="Arial" w:hAnsi="Arial"/>
          <w:sz w:val="22"/>
          <w:szCs w:val="22"/>
        </w:rPr>
        <w:t>The post holder will regularly deputise for the Head of Service for Looked After Children and Care Leavers in matters relating to children in care aged 0–16. They may also be required to provide briefings, professional advice and service updates to the Director of Children’s Social Care on relevant matters, as appropriate, and to support peer senior managers with management cover arrangements across the service when required.</w:t>
      </w:r>
    </w:p>
    <w:p>
      <w:pPr>
        <w:pStyle w:val="Normal"/>
        <w:rPr>
          <w:rFonts w:ascii="Arial" w:hAnsi="Arial" w:cs="Arial"/>
          <w:sz w:val="22"/>
        </w:rPr>
      </w:pPr>
      <w:r>
        <w:rPr>
          <w:rFonts w:cs="Arial" w:ascii="Arial" w:hAnsi="Arial"/>
          <w:sz w:val="22"/>
        </w:rPr>
      </w:r>
    </w:p>
    <w:p>
      <w:pPr>
        <w:pStyle w:val="Normal"/>
        <w:numPr>
          <w:ilvl w:val="0"/>
          <w:numId w:val="2"/>
        </w:numPr>
        <w:ind w:left="284" w:right="0" w:hanging="284"/>
        <w:rPr>
          <w:rFonts w:ascii="Arial" w:hAnsi="Arial" w:cs="Arial"/>
          <w:sz w:val="22"/>
        </w:rPr>
      </w:pPr>
      <w:r>
        <w:rPr>
          <w:rFonts w:cs="Arial" w:ascii="Arial" w:hAnsi="Arial"/>
          <w:sz w:val="22"/>
        </w:rPr>
        <w:t xml:space="preserve">Any other relevant statistics </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 xml:space="preserve">The Council has approximately 400 looked after children at any one time although this number fluctuates slightly according to demand. </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tbl>
      <w:tblPr>
        <w:tblW w:w="9224" w:type="dxa"/>
        <w:jc w:val="left"/>
        <w:tblInd w:w="-4" w:type="dxa"/>
        <w:tblCellMar>
          <w:top w:w="0" w:type="dxa"/>
          <w:left w:w="108" w:type="dxa"/>
          <w:bottom w:w="0" w:type="dxa"/>
          <w:right w:w="108" w:type="dxa"/>
        </w:tblCellMar>
      </w:tblPr>
      <w:tblGrid>
        <w:gridCol w:w="9224"/>
      </w:tblGrid>
      <w:tr>
        <w:trPr/>
        <w:tc>
          <w:tcPr>
            <w:tcW w:w="9224"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left"/>
              <w:rPr>
                <w:color w:val="800080"/>
                <w:sz w:val="22"/>
              </w:rPr>
            </w:pPr>
            <w:r>
              <w:rPr>
                <w:color w:val="800080"/>
                <w:sz w:val="22"/>
              </w:rPr>
              <w:t>Key Accountabilities:</w:t>
            </w:r>
          </w:p>
        </w:tc>
      </w:tr>
    </w:tbl>
    <w:p>
      <w:pPr>
        <w:pStyle w:val="Normal"/>
        <w:rPr>
          <w:rFonts w:ascii="Arial" w:hAnsi="Arial" w:cs="Arial"/>
          <w:sz w:val="22"/>
        </w:rPr>
      </w:pPr>
      <w:r>
        <w:rPr>
          <w:rFonts w:cs="Arial" w:ascii="Arial" w:hAnsi="Arial"/>
          <w:sz w:val="22"/>
        </w:rPr>
      </w:r>
    </w:p>
    <w:tbl>
      <w:tblPr>
        <w:tblW w:w="9082" w:type="dxa"/>
        <w:jc w:val="left"/>
        <w:tblInd w:w="-4" w:type="dxa"/>
        <w:tblCellMar>
          <w:top w:w="0" w:type="dxa"/>
          <w:left w:w="108" w:type="dxa"/>
          <w:bottom w:w="0" w:type="dxa"/>
          <w:right w:w="108" w:type="dxa"/>
        </w:tblCellMar>
      </w:tblPr>
      <w:tblGrid>
        <w:gridCol w:w="9082"/>
      </w:tblGrid>
      <w:tr>
        <w:trPr/>
        <w:tc>
          <w:tcPr>
            <w:tcW w:w="9082" w:type="dxa"/>
            <w:tcBorders>
              <w:top w:val="single" w:sz="4" w:space="0" w:color="C0C0C0"/>
              <w:left w:val="single" w:sz="4" w:space="0" w:color="C0C0C0"/>
              <w:bottom w:val="single" w:sz="4" w:space="0" w:color="C0C0C0"/>
              <w:right w:val="single" w:sz="4" w:space="0" w:color="C0C0C0"/>
            </w:tcBorders>
            <w:shd w:fill="auto" w:val="clear"/>
          </w:tcPr>
          <w:p>
            <w:pPr>
              <w:pStyle w:val="Normal"/>
              <w:rPr>
                <w:rFonts w:ascii="Arial" w:hAnsi="Arial" w:cs="Arial"/>
                <w:b/>
                <w:b/>
                <w:color w:val="800080"/>
                <w:sz w:val="22"/>
              </w:rPr>
            </w:pPr>
            <w:r>
              <w:rPr>
                <w:rFonts w:cs="Arial" w:ascii="Arial" w:hAnsi="Arial"/>
                <w:b/>
                <w:color w:val="800080"/>
                <w:sz w:val="22"/>
              </w:rPr>
              <w:t>Accountabilities</w:t>
            </w:r>
          </w:p>
        </w:tc>
      </w:tr>
      <w:tr>
        <w:trPr/>
        <w:tc>
          <w:tcPr>
            <w:tcW w:w="9082" w:type="dxa"/>
            <w:tcBorders>
              <w:top w:val="single" w:sz="4" w:space="0" w:color="C0C0C0"/>
              <w:left w:val="single" w:sz="4" w:space="0" w:color="C0C0C0"/>
              <w:bottom w:val="single" w:sz="4" w:space="0" w:color="C0C0C0"/>
              <w:right w:val="single" w:sz="4" w:space="0" w:color="C0C0C0"/>
            </w:tcBorders>
            <w:shd w:fill="auto" w:val="clear"/>
          </w:tcPr>
          <w:p>
            <w:pPr>
              <w:pStyle w:val="Normal"/>
              <w:numPr>
                <w:ilvl w:val="0"/>
                <w:numId w:val="4"/>
              </w:numPr>
              <w:rPr>
                <w:rFonts w:ascii="Arial" w:hAnsi="Arial" w:cs="Arial"/>
                <w:sz w:val="22"/>
                <w:szCs w:val="22"/>
              </w:rPr>
            </w:pPr>
            <w:r>
              <w:rPr>
                <w:rFonts w:cs="Arial" w:ascii="Arial" w:hAnsi="Arial"/>
                <w:sz w:val="22"/>
                <w:szCs w:val="22"/>
              </w:rPr>
              <w:t>Ensure appropriate people processes, staffing arrangements and resources are in place to support effective service delivery.</w:t>
            </w:r>
          </w:p>
        </w:tc>
      </w:tr>
      <w:tr>
        <w:trPr/>
        <w:tc>
          <w:tcPr>
            <w:tcW w:w="9082" w:type="dxa"/>
            <w:tcBorders>
              <w:top w:val="single" w:sz="4" w:space="0" w:color="C0C0C0"/>
              <w:left w:val="single" w:sz="4" w:space="0" w:color="C0C0C0"/>
              <w:bottom w:val="single" w:sz="4" w:space="0" w:color="C0C0C0"/>
              <w:right w:val="single" w:sz="4" w:space="0" w:color="C0C0C0"/>
            </w:tcBorders>
            <w:shd w:fill="auto" w:val="clear"/>
          </w:tcPr>
          <w:p>
            <w:pPr>
              <w:pStyle w:val="Normal"/>
              <w:numPr>
                <w:ilvl w:val="0"/>
                <w:numId w:val="4"/>
              </w:numPr>
              <w:rPr>
                <w:rFonts w:ascii="Arial" w:hAnsi="Arial" w:cs="Arial"/>
                <w:sz w:val="22"/>
                <w:szCs w:val="22"/>
              </w:rPr>
            </w:pPr>
            <w:r>
              <w:rPr>
                <w:rFonts w:cs="Arial" w:ascii="Arial" w:hAnsi="Arial"/>
                <w:sz w:val="22"/>
                <w:szCs w:val="22"/>
              </w:rPr>
              <w:t>Hold others to account for delivering agreed standards, priorities and outcomes.</w:t>
            </w:r>
          </w:p>
        </w:tc>
      </w:tr>
      <w:tr>
        <w:trPr/>
        <w:tc>
          <w:tcPr>
            <w:tcW w:w="9082" w:type="dxa"/>
            <w:tcBorders>
              <w:top w:val="single" w:sz="4" w:space="0" w:color="C0C0C0"/>
              <w:left w:val="single" w:sz="4" w:space="0" w:color="C0C0C0"/>
              <w:bottom w:val="single" w:sz="4" w:space="0" w:color="C0C0C0"/>
              <w:right w:val="single" w:sz="4" w:space="0" w:color="C0C0C0"/>
            </w:tcBorders>
            <w:shd w:fill="auto" w:val="clear"/>
          </w:tcPr>
          <w:p>
            <w:pPr>
              <w:pStyle w:val="Normal"/>
              <w:numPr>
                <w:ilvl w:val="0"/>
                <w:numId w:val="4"/>
              </w:numPr>
              <w:rPr>
                <w:rFonts w:ascii="Arial" w:hAnsi="Arial" w:cs="Arial"/>
                <w:sz w:val="22"/>
                <w:szCs w:val="22"/>
              </w:rPr>
            </w:pPr>
            <w:r>
              <w:rPr>
                <w:rFonts w:cs="Arial" w:ascii="Arial" w:hAnsi="Arial"/>
                <w:sz w:val="22"/>
                <w:szCs w:val="22"/>
              </w:rPr>
              <w:t>Identify, support and develop talent within the service to strengthen capacity, capability and succession planning.</w:t>
            </w:r>
          </w:p>
        </w:tc>
      </w:tr>
      <w:tr>
        <w:trPr/>
        <w:tc>
          <w:tcPr>
            <w:tcW w:w="9082" w:type="dxa"/>
            <w:tcBorders>
              <w:top w:val="single" w:sz="4" w:space="0" w:color="C0C0C0"/>
              <w:left w:val="single" w:sz="4" w:space="0" w:color="C0C0C0"/>
              <w:bottom w:val="single" w:sz="4" w:space="0" w:color="C0C0C0"/>
              <w:right w:val="single" w:sz="4" w:space="0" w:color="C0C0C0"/>
            </w:tcBorders>
            <w:shd w:fill="auto" w:val="clear"/>
          </w:tcPr>
          <w:p>
            <w:pPr>
              <w:pStyle w:val="Normal"/>
              <w:numPr>
                <w:ilvl w:val="0"/>
                <w:numId w:val="4"/>
              </w:numPr>
              <w:rPr>
                <w:rFonts w:ascii="Arial" w:hAnsi="Arial" w:cs="Arial"/>
                <w:sz w:val="22"/>
                <w:szCs w:val="22"/>
              </w:rPr>
            </w:pPr>
            <w:r>
              <w:rPr>
                <w:rFonts w:cs="Arial" w:ascii="Arial" w:hAnsi="Arial"/>
                <w:sz w:val="22"/>
                <w:szCs w:val="22"/>
              </w:rPr>
              <w:t>Ensure service and programme budgets are managed effectively, with due regard to timeliness, cost, efficiency and service impact.</w:t>
            </w:r>
          </w:p>
        </w:tc>
      </w:tr>
      <w:tr>
        <w:trPr/>
        <w:tc>
          <w:tcPr>
            <w:tcW w:w="9082" w:type="dxa"/>
            <w:tcBorders>
              <w:top w:val="single" w:sz="4" w:space="0" w:color="C0C0C0"/>
              <w:left w:val="single" w:sz="4" w:space="0" w:color="C0C0C0"/>
              <w:bottom w:val="single" w:sz="4" w:space="0" w:color="C0C0C0"/>
              <w:right w:val="single" w:sz="4" w:space="0" w:color="C0C0C0"/>
            </w:tcBorders>
            <w:shd w:fill="auto" w:val="clear"/>
          </w:tcPr>
          <w:p>
            <w:pPr>
              <w:pStyle w:val="Normal"/>
              <w:numPr>
                <w:ilvl w:val="0"/>
                <w:numId w:val="4"/>
              </w:numPr>
              <w:rPr>
                <w:rFonts w:ascii="Arial" w:hAnsi="Arial" w:cs="Arial"/>
                <w:sz w:val="22"/>
                <w:szCs w:val="22"/>
              </w:rPr>
            </w:pPr>
            <w:r>
              <w:rPr>
                <w:rFonts w:cs="Arial" w:ascii="Arial" w:hAnsi="Arial"/>
                <w:sz w:val="22"/>
                <w:szCs w:val="22"/>
              </w:rPr>
              <w:t>Monitor performance with rigour and act promptly to address areas of concern.</w:t>
            </w:r>
          </w:p>
        </w:tc>
      </w:tr>
      <w:tr>
        <w:trPr/>
        <w:tc>
          <w:tcPr>
            <w:tcW w:w="9082" w:type="dxa"/>
            <w:tcBorders>
              <w:top w:val="single" w:sz="4" w:space="0" w:color="C0C0C0"/>
              <w:left w:val="single" w:sz="4" w:space="0" w:color="C0C0C0"/>
              <w:bottom w:val="single" w:sz="4" w:space="0" w:color="C0C0C0"/>
              <w:right w:val="single" w:sz="4" w:space="0" w:color="C0C0C0"/>
            </w:tcBorders>
            <w:shd w:fill="auto" w:val="clear"/>
          </w:tcPr>
          <w:p>
            <w:pPr>
              <w:pStyle w:val="Normal"/>
              <w:numPr>
                <w:ilvl w:val="0"/>
                <w:numId w:val="4"/>
              </w:numPr>
              <w:rPr>
                <w:rFonts w:ascii="Arial" w:hAnsi="Arial" w:cs="Arial"/>
                <w:sz w:val="22"/>
                <w:szCs w:val="22"/>
              </w:rPr>
            </w:pPr>
            <w:r>
              <w:rPr>
                <w:rFonts w:cs="Arial" w:ascii="Arial" w:hAnsi="Arial"/>
                <w:sz w:val="22"/>
                <w:szCs w:val="22"/>
              </w:rPr>
              <w:t>Develop and maintain service improvement programmes and plans that support delivery, performance and quality of practice.</w:t>
            </w:r>
          </w:p>
        </w:tc>
      </w:tr>
      <w:tr>
        <w:trPr/>
        <w:tc>
          <w:tcPr>
            <w:tcW w:w="9082" w:type="dxa"/>
            <w:tcBorders>
              <w:top w:val="single" w:sz="4" w:space="0" w:color="C0C0C0"/>
              <w:left w:val="single" w:sz="4" w:space="0" w:color="C0C0C0"/>
              <w:bottom w:val="single" w:sz="4" w:space="0" w:color="C0C0C0"/>
              <w:right w:val="single" w:sz="4" w:space="0" w:color="C0C0C0"/>
            </w:tcBorders>
            <w:shd w:fill="auto" w:val="clear"/>
          </w:tcPr>
          <w:p>
            <w:pPr>
              <w:pStyle w:val="Normal"/>
              <w:numPr>
                <w:ilvl w:val="0"/>
                <w:numId w:val="4"/>
              </w:numPr>
              <w:rPr>
                <w:rFonts w:ascii="Arial" w:hAnsi="Arial" w:cs="Arial"/>
                <w:sz w:val="22"/>
                <w:szCs w:val="22"/>
              </w:rPr>
            </w:pPr>
            <w:r>
              <w:rPr>
                <w:rFonts w:cs="Arial" w:ascii="Arial" w:hAnsi="Arial"/>
                <w:sz w:val="22"/>
                <w:szCs w:val="22"/>
              </w:rPr>
              <w:t>Ensure the Family Safeguarding practice model is embedded across the service and evidenced through supervision, management oversight, case recording, audit activity and service improvement work.</w:t>
            </w:r>
          </w:p>
        </w:tc>
      </w:tr>
      <w:tr>
        <w:trPr/>
        <w:tc>
          <w:tcPr>
            <w:tcW w:w="9082" w:type="dxa"/>
            <w:tcBorders>
              <w:top w:val="single" w:sz="4" w:space="0" w:color="C0C0C0"/>
              <w:left w:val="single" w:sz="4" w:space="0" w:color="C0C0C0"/>
              <w:bottom w:val="single" w:sz="4" w:space="0" w:color="C0C0C0"/>
              <w:right w:val="single" w:sz="4" w:space="0" w:color="C0C0C0"/>
            </w:tcBorders>
            <w:shd w:fill="auto" w:val="clear"/>
          </w:tcPr>
          <w:p>
            <w:pPr>
              <w:pStyle w:val="Normal"/>
              <w:numPr>
                <w:ilvl w:val="0"/>
                <w:numId w:val="4"/>
              </w:numPr>
              <w:rPr>
                <w:rFonts w:ascii="Arial" w:hAnsi="Arial" w:cs="Arial"/>
                <w:sz w:val="22"/>
                <w:szCs w:val="22"/>
              </w:rPr>
            </w:pPr>
            <w:r>
              <w:rPr>
                <w:rFonts w:cs="Arial" w:ascii="Arial" w:hAnsi="Arial"/>
                <w:sz w:val="22"/>
                <w:szCs w:val="22"/>
              </w:rPr>
              <w:t>Ensure effective communication processes are in place within the service and with key partners.</w:t>
            </w:r>
          </w:p>
        </w:tc>
      </w:tr>
      <w:tr>
        <w:trPr/>
        <w:tc>
          <w:tcPr>
            <w:tcW w:w="9082" w:type="dxa"/>
            <w:tcBorders>
              <w:top w:val="single" w:sz="4" w:space="0" w:color="C0C0C0"/>
              <w:left w:val="single" w:sz="4" w:space="0" w:color="C0C0C0"/>
              <w:bottom w:val="single" w:sz="4" w:space="0" w:color="C0C0C0"/>
              <w:right w:val="single" w:sz="4" w:space="0" w:color="C0C0C0"/>
            </w:tcBorders>
            <w:shd w:fill="auto" w:val="clear"/>
          </w:tcPr>
          <w:p>
            <w:pPr>
              <w:pStyle w:val="Normal"/>
              <w:numPr>
                <w:ilvl w:val="0"/>
                <w:numId w:val="4"/>
              </w:numPr>
              <w:rPr>
                <w:rFonts w:ascii="Arial" w:hAnsi="Arial" w:cs="Arial"/>
                <w:sz w:val="22"/>
                <w:szCs w:val="22"/>
              </w:rPr>
            </w:pPr>
            <w:r>
              <w:rPr>
                <w:rFonts w:cs="Arial" w:ascii="Arial" w:hAnsi="Arial"/>
                <w:sz w:val="22"/>
                <w:szCs w:val="22"/>
              </w:rPr>
              <w:t>Contribute to the development and delivery of the Council’s Children in Care Strategy, maximising the contribution of corporate parenting partners in supporting children in care aged 0–16+.</w:t>
            </w:r>
          </w:p>
        </w:tc>
      </w:tr>
      <w:tr>
        <w:trPr/>
        <w:tc>
          <w:tcPr>
            <w:tcW w:w="9082" w:type="dxa"/>
            <w:tcBorders>
              <w:top w:val="single" w:sz="4" w:space="0" w:color="C0C0C0"/>
              <w:left w:val="single" w:sz="4" w:space="0" w:color="C0C0C0"/>
              <w:bottom w:val="single" w:sz="4" w:space="0" w:color="C0C0C0"/>
              <w:right w:val="single" w:sz="4" w:space="0" w:color="C0C0C0"/>
            </w:tcBorders>
            <w:shd w:fill="auto" w:val="clear"/>
          </w:tcPr>
          <w:p>
            <w:pPr>
              <w:pStyle w:val="Normal"/>
              <w:numPr>
                <w:ilvl w:val="0"/>
                <w:numId w:val="4"/>
              </w:numPr>
              <w:rPr>
                <w:rFonts w:ascii="Arial" w:hAnsi="Arial" w:cs="Arial"/>
                <w:sz w:val="22"/>
                <w:szCs w:val="22"/>
              </w:rPr>
            </w:pPr>
            <w:r>
              <w:rPr>
                <w:rFonts w:cs="Arial" w:ascii="Arial" w:hAnsi="Arial"/>
                <w:sz w:val="22"/>
                <w:szCs w:val="22"/>
              </w:rPr>
              <w:t>Ensure systems are in place to provide timely and accurate data to meet internal Council, partnership, Department for Education and Ofsted requirements.</w:t>
            </w:r>
          </w:p>
        </w:tc>
      </w:tr>
      <w:tr>
        <w:trPr/>
        <w:tc>
          <w:tcPr>
            <w:tcW w:w="9082" w:type="dxa"/>
            <w:tcBorders>
              <w:top w:val="single" w:sz="4" w:space="0" w:color="C0C0C0"/>
              <w:left w:val="single" w:sz="4" w:space="0" w:color="C0C0C0"/>
              <w:bottom w:val="single" w:sz="4" w:space="0" w:color="C0C0C0"/>
              <w:right w:val="single" w:sz="4" w:space="0" w:color="C0C0C0"/>
            </w:tcBorders>
            <w:shd w:fill="auto" w:val="clear"/>
          </w:tcPr>
          <w:p>
            <w:pPr>
              <w:pStyle w:val="Normal"/>
              <w:numPr>
                <w:ilvl w:val="0"/>
                <w:numId w:val="4"/>
              </w:numPr>
              <w:rPr>
                <w:rFonts w:ascii="Arial" w:hAnsi="Arial" w:cs="Arial"/>
                <w:sz w:val="22"/>
                <w:szCs w:val="22"/>
              </w:rPr>
            </w:pPr>
            <w:r>
              <w:rPr>
                <w:rFonts w:cs="Arial" w:ascii="Arial" w:hAnsi="Arial"/>
                <w:sz w:val="22"/>
                <w:szCs w:val="22"/>
              </w:rPr>
              <w:t>Support the implementation of new ways of working in accordance with national guidance relating to children and families.</w:t>
            </w:r>
          </w:p>
        </w:tc>
      </w:tr>
      <w:tr>
        <w:trPr/>
        <w:tc>
          <w:tcPr>
            <w:tcW w:w="9082" w:type="dxa"/>
            <w:tcBorders>
              <w:top w:val="single" w:sz="4" w:space="0" w:color="C0C0C0"/>
              <w:left w:val="single" w:sz="4" w:space="0" w:color="C0C0C0"/>
              <w:bottom w:val="single" w:sz="4" w:space="0" w:color="C0C0C0"/>
              <w:right w:val="single" w:sz="4" w:space="0" w:color="C0C0C0"/>
            </w:tcBorders>
            <w:shd w:fill="auto" w:val="clear"/>
          </w:tcPr>
          <w:p>
            <w:pPr>
              <w:pStyle w:val="Normal"/>
              <w:numPr>
                <w:ilvl w:val="0"/>
                <w:numId w:val="4"/>
              </w:numPr>
              <w:rPr>
                <w:rFonts w:ascii="Arial" w:hAnsi="Arial" w:cs="Arial"/>
                <w:sz w:val="22"/>
                <w:szCs w:val="22"/>
              </w:rPr>
            </w:pPr>
            <w:r>
              <w:rPr>
                <w:rFonts w:cs="Arial" w:ascii="Arial" w:hAnsi="Arial"/>
                <w:sz w:val="22"/>
                <w:szCs w:val="22"/>
              </w:rPr>
              <w:t>Undertake any other duties reasonably requested by management that are commensurate with the scope of the role.</w:t>
            </w:r>
          </w:p>
        </w:tc>
      </w:tr>
      <w:tr>
        <w:trPr>
          <w:trHeight w:val="70" w:hRule="atLeast"/>
        </w:trPr>
        <w:tc>
          <w:tcPr>
            <w:tcW w:w="9082" w:type="dxa"/>
            <w:tcBorders>
              <w:top w:val="single" w:sz="4" w:space="0" w:color="C0C0C0"/>
              <w:left w:val="single" w:sz="4" w:space="0" w:color="C0C0C0"/>
              <w:bottom w:val="single" w:sz="4" w:space="0" w:color="C0C0C0"/>
              <w:right w:val="single" w:sz="4" w:space="0" w:color="C0C0C0"/>
            </w:tcBorders>
            <w:shd w:fill="auto" w:val="clear"/>
          </w:tcPr>
          <w:p>
            <w:pPr>
              <w:pStyle w:val="Normal"/>
              <w:numPr>
                <w:ilvl w:val="0"/>
                <w:numId w:val="4"/>
              </w:numPr>
              <w:rPr>
                <w:rFonts w:ascii="Arial" w:hAnsi="Arial" w:cs="Arial"/>
                <w:sz w:val="22"/>
                <w:szCs w:val="22"/>
              </w:rPr>
            </w:pPr>
            <w:r>
              <w:rPr>
                <w:rFonts w:cs="Arial" w:ascii="Arial" w:hAnsi="Arial"/>
                <w:sz w:val="22"/>
                <w:szCs w:val="22"/>
              </w:rPr>
              <w:t>Carry out all accountabilities in compliance with the Council’s policies, procedures and relevant governance arrangements.</w:t>
            </w:r>
          </w:p>
        </w:tc>
      </w:tr>
    </w:tbl>
    <w:p>
      <w:pPr>
        <w:pStyle w:val="Normal"/>
        <w:rPr>
          <w:rFonts w:ascii="Arial" w:hAnsi="Arial" w:cs="Arial"/>
          <w:sz w:val="22"/>
        </w:rPr>
      </w:pPr>
      <w:r>
        <w:rPr>
          <w:rFonts w:cs="Arial" w:ascii="Arial" w:hAnsi="Arial"/>
          <w:sz w:val="22"/>
        </w:rPr>
      </w:r>
    </w:p>
    <w:p>
      <w:pPr>
        <w:pStyle w:val="Normal"/>
        <w:rPr>
          <w:rFonts w:ascii="Arial" w:hAnsi="Arial" w:cs="Arial"/>
          <w:sz w:val="22"/>
          <w:szCs w:val="22"/>
        </w:rPr>
      </w:pPr>
      <w:r>
        <w:rPr>
          <w:rFonts w:cs="Arial" w:ascii="Arial" w:hAnsi="Arial"/>
          <w:sz w:val="22"/>
          <w:szCs w:val="22"/>
        </w:rPr>
      </w:r>
    </w:p>
    <w:tbl>
      <w:tblPr>
        <w:tblW w:w="9082" w:type="dxa"/>
        <w:jc w:val="left"/>
        <w:tblInd w:w="-4" w:type="dxa"/>
        <w:tblCellMar>
          <w:top w:w="0" w:type="dxa"/>
          <w:left w:w="108" w:type="dxa"/>
          <w:bottom w:w="0" w:type="dxa"/>
          <w:right w:w="108" w:type="dxa"/>
        </w:tblCellMar>
      </w:tblPr>
      <w:tblGrid>
        <w:gridCol w:w="9082"/>
      </w:tblGrid>
      <w:tr>
        <w:trPr/>
        <w:tc>
          <w:tcPr>
            <w:tcW w:w="9082"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left"/>
              <w:rPr>
                <w:color w:val="800080"/>
                <w:sz w:val="22"/>
              </w:rPr>
            </w:pPr>
            <w:r>
              <w:rPr>
                <w:color w:val="800080"/>
                <w:sz w:val="22"/>
              </w:rPr>
              <w:t>Key Relationships (Internal and External):</w:t>
            </w:r>
          </w:p>
        </w:tc>
      </w:tr>
    </w:tbl>
    <w:p>
      <w:pPr>
        <w:pStyle w:val="Normal"/>
        <w:rPr>
          <w:rFonts w:ascii="Arial" w:hAnsi="Arial" w:cs="Arial"/>
          <w:sz w:val="22"/>
        </w:rPr>
      </w:pPr>
      <w:r>
        <w:rPr>
          <w:rFonts w:cs="Arial" w:ascii="Arial" w:hAnsi="Arial"/>
          <w:sz w:val="22"/>
        </w:rPr>
      </w:r>
    </w:p>
    <w:p>
      <w:pPr>
        <w:pStyle w:val="Normal"/>
        <w:rPr>
          <w:rFonts w:ascii="Arial" w:hAnsi="Arial" w:cs="Arial"/>
          <w:color w:val="FF0000"/>
          <w:sz w:val="22"/>
        </w:rPr>
      </w:pPr>
      <w:r>
        <w:rPr>
          <w:rFonts w:cs="Arial" w:ascii="Arial" w:hAnsi="Arial"/>
          <w:color w:val="FF0000"/>
          <w:sz w:val="22"/>
        </w:rPr>
      </w:r>
    </w:p>
    <w:p>
      <w:pPr>
        <w:pStyle w:val="Normal"/>
        <w:rPr>
          <w:rFonts w:ascii="Arial" w:hAnsi="Arial" w:cs="Arial"/>
          <w:sz w:val="22"/>
          <w:szCs w:val="22"/>
        </w:rPr>
      </w:pPr>
      <w:r>
        <w:rPr>
          <w:rFonts w:cs="Arial" w:ascii="Arial" w:hAnsi="Arial"/>
          <w:sz w:val="22"/>
          <w:szCs w:val="22"/>
        </w:rPr>
        <w:t>The post holder will be a member of the Operational Management Group within Children and Family Services and will work with senior managers to support the strategic direction and effective operational delivery of Children and Family Services in Enfield.</w:t>
      </w:r>
    </w:p>
    <w:p>
      <w:pPr>
        <w:pStyle w:val="Normal"/>
        <w:rPr>
          <w:rFonts w:ascii="Arial" w:hAnsi="Arial" w:cs="Arial"/>
          <w:sz w:val="22"/>
        </w:rPr>
      </w:pPr>
      <w:r>
        <w:rPr>
          <w:rFonts w:cs="Arial" w:ascii="Arial" w:hAnsi="Arial"/>
          <w:sz w:val="22"/>
        </w:rPr>
      </w:r>
    </w:p>
    <w:p>
      <w:pPr>
        <w:pStyle w:val="Normal"/>
        <w:rPr>
          <w:rFonts w:ascii="Arial" w:hAnsi="Arial" w:cs="Arial"/>
          <w:sz w:val="22"/>
          <w:szCs w:val="22"/>
        </w:rPr>
      </w:pPr>
      <w:r>
        <w:rPr>
          <w:rFonts w:cs="Arial" w:ascii="Arial" w:hAnsi="Arial"/>
          <w:sz w:val="22"/>
          <w:szCs w:val="22"/>
        </w:rPr>
        <w:t>There will be regular contact with elected members through the Corporate Parenting Board and in response to matters arising for children and families supported by the Children in Care and Care Leavers Service. The post holder will support the Executive Director, People and the Chief Executive by providing timely, accurate information as requested.</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szCs w:val="22"/>
        </w:rPr>
      </w:pPr>
      <w:r>
        <w:rPr>
          <w:rFonts w:cs="Arial" w:ascii="Arial" w:hAnsi="Arial"/>
          <w:sz w:val="22"/>
          <w:szCs w:val="22"/>
        </w:rPr>
        <w:t>Developing proactive and outcome-focused relationships with regional and national consortia will be important. Effective relationships with health, education and housing partners are integral to the role.</w:t>
      </w:r>
    </w:p>
    <w:p>
      <w:pPr>
        <w:pStyle w:val="Normal"/>
        <w:rPr>
          <w:rFonts w:ascii="Arial" w:hAnsi="Arial" w:cs="Arial"/>
          <w:sz w:val="22"/>
        </w:rPr>
      </w:pPr>
      <w:r>
        <w:rPr>
          <w:rFonts w:cs="Arial" w:ascii="Arial" w:hAnsi="Arial"/>
          <w:sz w:val="22"/>
        </w:rPr>
      </w:r>
    </w:p>
    <w:p>
      <w:pPr>
        <w:pStyle w:val="Normal"/>
        <w:rPr>
          <w:rFonts w:ascii="Arial" w:hAnsi="Arial" w:cs="Arial"/>
          <w:sz w:val="22"/>
          <w:szCs w:val="22"/>
        </w:rPr>
      </w:pPr>
      <w:r>
        <w:rPr>
          <w:rFonts w:cs="Arial" w:ascii="Arial" w:hAnsi="Arial"/>
          <w:sz w:val="22"/>
          <w:szCs w:val="22"/>
        </w:rPr>
        <w:t>There will be frequent contact with senior managers, team managers, social workers and personal advisors. Engagement with young people will help ensure that services are planned and developed in partnership.</w:t>
      </w:r>
    </w:p>
    <w:p>
      <w:pPr>
        <w:pStyle w:val="Normal"/>
        <w:rPr>
          <w:rFonts w:ascii="Arial" w:hAnsi="Arial" w:cs="Arial"/>
          <w:sz w:val="22"/>
        </w:rPr>
      </w:pPr>
      <w:r>
        <w:rPr>
          <w:rFonts w:cs="Arial" w:ascii="Arial" w:hAnsi="Arial"/>
          <w:sz w:val="22"/>
        </w:rPr>
      </w:r>
    </w:p>
    <w:p>
      <w:pPr>
        <w:pStyle w:val="Normal"/>
        <w:rPr>
          <w:rFonts w:ascii="Arial" w:hAnsi="Arial" w:cs="Arial"/>
          <w:sz w:val="22"/>
          <w:szCs w:val="22"/>
        </w:rPr>
      </w:pPr>
      <w:r>
        <w:rPr>
          <w:rFonts w:cs="Arial" w:ascii="Arial" w:hAnsi="Arial"/>
          <w:sz w:val="22"/>
          <w:szCs w:val="22"/>
        </w:rPr>
        <w:t>There will also be regular contact with the Council’s finance and data teams to support effective budget management, performance monitoring and reporting.</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tbl>
      <w:tblPr>
        <w:tblW w:w="9082" w:type="dxa"/>
        <w:jc w:val="left"/>
        <w:tblInd w:w="-4" w:type="dxa"/>
        <w:tblCellMar>
          <w:top w:w="0" w:type="dxa"/>
          <w:left w:w="108" w:type="dxa"/>
          <w:bottom w:w="0" w:type="dxa"/>
          <w:right w:w="108" w:type="dxa"/>
        </w:tblCellMar>
      </w:tblPr>
      <w:tblGrid>
        <w:gridCol w:w="9082"/>
      </w:tblGrid>
      <w:tr>
        <w:trPr/>
        <w:tc>
          <w:tcPr>
            <w:tcW w:w="9082"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left"/>
              <w:rPr>
                <w:color w:val="800080"/>
                <w:sz w:val="22"/>
              </w:rPr>
            </w:pPr>
            <w:r>
              <w:rPr>
                <w:color w:val="800080"/>
                <w:sz w:val="22"/>
              </w:rPr>
              <w:t>Equality and Diversity:</w:t>
            </w:r>
          </w:p>
        </w:tc>
      </w:tr>
    </w:tbl>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The Council has a strong commitment to achieving equality in its service to the community and the employment of people and expects all employees to understand, comply with and promote its policies in their own work.</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tbl>
      <w:tblPr>
        <w:tblW w:w="9082" w:type="dxa"/>
        <w:jc w:val="left"/>
        <w:tblInd w:w="-4" w:type="dxa"/>
        <w:tblCellMar>
          <w:top w:w="0" w:type="dxa"/>
          <w:left w:w="108" w:type="dxa"/>
          <w:bottom w:w="0" w:type="dxa"/>
          <w:right w:w="108" w:type="dxa"/>
        </w:tblCellMar>
      </w:tblPr>
      <w:tblGrid>
        <w:gridCol w:w="9082"/>
      </w:tblGrid>
      <w:tr>
        <w:trPr/>
        <w:tc>
          <w:tcPr>
            <w:tcW w:w="9082"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left"/>
              <w:rPr>
                <w:color w:val="800080"/>
                <w:sz w:val="22"/>
              </w:rPr>
            </w:pPr>
            <w:r>
              <w:rPr>
                <w:color w:val="800080"/>
                <w:sz w:val="22"/>
              </w:rPr>
              <w:t>Health and Safety:</w:t>
            </w:r>
          </w:p>
        </w:tc>
      </w:tr>
    </w:tbl>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The post holder shall ensure that the duties of the post are undertaken with due regard to the Council’s Health and Safety Policy and to their personal responsibilities under the provisions of the Health and Safety at work Act 1974 and all other relevant subordinate legislation.</w:t>
      </w:r>
    </w:p>
    <w:p>
      <w:pPr>
        <w:pStyle w:val="Normal"/>
        <w:rPr>
          <w:rFonts w:ascii="Arial" w:hAnsi="Arial" w:cs="Arial"/>
          <w:sz w:val="22"/>
        </w:rPr>
      </w:pPr>
      <w:r>
        <w:rPr>
          <w:rFonts w:cs="Arial" w:ascii="Arial" w:hAnsi="Arial"/>
          <w:sz w:val="22"/>
        </w:rPr>
      </w:r>
    </w:p>
    <w:p>
      <w:pPr>
        <w:pStyle w:val="Normal"/>
        <w:rPr/>
      </w:pPr>
      <w:r>
        <w:rPr>
          <w:rFonts w:cs="Arial" w:ascii="Arial" w:hAnsi="Arial"/>
          <w:sz w:val="22"/>
        </w:rPr>
        <w:t>For a more detailed definition of these responsibilities, refer to the current versions of the Corporate Health</w:t>
      </w:r>
      <w:r>
        <w:rPr>
          <w:rFonts w:cs="Arial" w:ascii="Arial" w:hAnsi="Arial"/>
          <w:b/>
          <w:sz w:val="22"/>
        </w:rPr>
        <w:t xml:space="preserve"> </w:t>
      </w:r>
      <w:r>
        <w:rPr>
          <w:rFonts w:cs="Arial" w:ascii="Arial" w:hAnsi="Arial"/>
          <w:sz w:val="22"/>
        </w:rPr>
        <w:t>&amp; Safety Policy, Group Safety Policy and employee information leaflet entitled "Health &amp; Safety Policy; Guidance on Staff Health &amp; Safety Responsibilities".</w:t>
      </w:r>
    </w:p>
    <w:p>
      <w:pPr>
        <w:pStyle w:val="Normal"/>
        <w:rPr>
          <w:rFonts w:ascii="Arial" w:hAnsi="Arial" w:cs="Arial"/>
          <w:sz w:val="22"/>
        </w:rPr>
      </w:pPr>
      <w:r>
        <w:rPr>
          <w:rFonts w:cs="Arial" w:ascii="Arial" w:hAnsi="Arial"/>
          <w:sz w:val="22"/>
        </w:rPr>
      </w:r>
    </w:p>
    <w:p>
      <w:pPr>
        <w:pStyle w:val="Heading4"/>
        <w:rPr>
          <w:color w:val="800080"/>
        </w:rPr>
      </w:pPr>
      <w:r>
        <w:rPr>
          <w:color w:val="800080"/>
        </w:rPr>
        <w:t>Corporate Health and Safety Responsibilities</w:t>
      </w:r>
    </w:p>
    <w:p>
      <w:pPr>
        <w:pStyle w:val="TextBody"/>
        <w:rPr/>
      </w:pPr>
      <w:r>
        <w:rPr/>
        <w:t>All employees have personal responsibilities to take reasonable care for the health and safety of themselves and others.  This means:</w:t>
      </w:r>
    </w:p>
    <w:p>
      <w:pPr>
        <w:pStyle w:val="Normal"/>
        <w:rPr>
          <w:rFonts w:ascii="Arial" w:hAnsi="Arial" w:cs="Arial"/>
          <w:sz w:val="22"/>
        </w:rPr>
      </w:pPr>
      <w:r>
        <w:rPr>
          <w:rFonts w:cs="Arial" w:ascii="Arial" w:hAnsi="Arial"/>
          <w:sz w:val="22"/>
        </w:rPr>
      </w:r>
    </w:p>
    <w:p>
      <w:pPr>
        <w:pStyle w:val="ErSer"/>
        <w:tabs>
          <w:tab w:val="clear" w:pos="990"/>
        </w:tabs>
        <w:rPr>
          <w:rFonts w:cs="Arial"/>
        </w:rPr>
      </w:pPr>
      <w:r>
        <w:rPr>
          <w:rFonts w:cs="Arial"/>
        </w:rPr>
        <w:t xml:space="preserve">1. </w:t>
        <w:tab/>
        <w:t>Understanding the hazards in the work they undertake;</w:t>
      </w:r>
    </w:p>
    <w:p>
      <w:pPr>
        <w:pStyle w:val="ErSer"/>
        <w:tabs>
          <w:tab w:val="clear" w:pos="990"/>
        </w:tabs>
        <w:rPr>
          <w:rFonts w:cs="Arial"/>
        </w:rPr>
      </w:pPr>
      <w:r>
        <w:rPr>
          <w:rFonts w:cs="Arial"/>
        </w:rPr>
        <w:t>2.</w:t>
        <w:tab/>
        <w:t>Following safety rules and procedures;</w:t>
      </w:r>
    </w:p>
    <w:p>
      <w:pPr>
        <w:pStyle w:val="Normal"/>
        <w:ind w:left="720" w:right="0" w:hanging="720"/>
        <w:rPr>
          <w:rFonts w:ascii="Arial" w:hAnsi="Arial" w:cs="Arial"/>
          <w:sz w:val="22"/>
        </w:rPr>
      </w:pPr>
      <w:r>
        <w:rPr>
          <w:rFonts w:cs="Arial" w:ascii="Arial" w:hAnsi="Arial"/>
          <w:sz w:val="22"/>
        </w:rPr>
        <w:t xml:space="preserve">3. </w:t>
        <w:tab/>
        <w:t>Using work equipment, personal protective equipment, substances, and safety devices correctly; and</w:t>
      </w:r>
    </w:p>
    <w:p>
      <w:pPr>
        <w:pStyle w:val="Normal"/>
        <w:ind w:left="720" w:right="0" w:hanging="720"/>
        <w:rPr>
          <w:rFonts w:ascii="Arial" w:hAnsi="Arial" w:cs="Arial"/>
          <w:sz w:val="22"/>
        </w:rPr>
      </w:pPr>
      <w:r>
        <w:rPr>
          <w:rFonts w:cs="Arial" w:ascii="Arial" w:hAnsi="Arial"/>
          <w:sz w:val="22"/>
        </w:rPr>
        <w:t xml:space="preserve">4. </w:t>
        <w:tab/>
        <w:t xml:space="preserve">Working in accordance with the training provided and only undertaking tasks where appropriate training has been received. </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Employees shall co-operate with the Council by allowing it to comply with its duties towards them.  This requires employees to:</w:t>
      </w:r>
    </w:p>
    <w:p>
      <w:pPr>
        <w:pStyle w:val="Normal"/>
        <w:rPr>
          <w:rFonts w:ascii="Arial" w:hAnsi="Arial" w:cs="Arial"/>
          <w:sz w:val="22"/>
        </w:rPr>
      </w:pPr>
      <w:r>
        <w:rPr>
          <w:rFonts w:cs="Arial" w:ascii="Arial" w:hAnsi="Arial"/>
          <w:sz w:val="22"/>
        </w:rPr>
      </w:r>
    </w:p>
    <w:p>
      <w:pPr>
        <w:pStyle w:val="Normal"/>
        <w:numPr>
          <w:ilvl w:val="0"/>
          <w:numId w:val="3"/>
        </w:numPr>
        <w:rPr>
          <w:rFonts w:ascii="Arial" w:hAnsi="Arial" w:cs="Arial"/>
          <w:sz w:val="22"/>
        </w:rPr>
      </w:pPr>
      <w:r>
        <w:rPr>
          <w:rFonts w:cs="Arial" w:ascii="Arial" w:hAnsi="Arial"/>
          <w:sz w:val="22"/>
        </w:rPr>
        <w:t>take part in safety training and risk assessments and suggest ways of reducing risks; and</w:t>
      </w:r>
    </w:p>
    <w:p>
      <w:pPr>
        <w:pStyle w:val="Normal"/>
        <w:numPr>
          <w:ilvl w:val="0"/>
          <w:numId w:val="3"/>
        </w:numPr>
        <w:rPr>
          <w:rFonts w:ascii="Arial" w:hAnsi="Arial" w:cs="Arial"/>
          <w:sz w:val="22"/>
        </w:rPr>
      </w:pPr>
      <w:r>
        <w:rPr>
          <w:rFonts w:cs="Arial" w:ascii="Arial" w:hAnsi="Arial"/>
          <w:sz w:val="22"/>
        </w:rPr>
        <w:t>take part in emergency evacuation exercises.</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Employees shall report all accidents, ‘near miss’ incidents and work related ill health conditions to their manager/supervisor/team leader.</w:t>
      </w:r>
    </w:p>
    <w:p>
      <w:pPr>
        <w:pStyle w:val="TextBody"/>
        <w:rPr>
          <w:bCs w:val="false"/>
        </w:rPr>
      </w:pPr>
      <w:r>
        <w:rPr>
          <w:bCs w:val="false"/>
        </w:rPr>
      </w:r>
    </w:p>
    <w:p>
      <w:pPr>
        <w:pStyle w:val="Normal"/>
        <w:rPr>
          <w:rFonts w:ascii="Arial" w:hAnsi="Arial" w:cs="Arial"/>
          <w:sz w:val="22"/>
        </w:rPr>
      </w:pPr>
      <w:r>
        <w:rPr>
          <w:rFonts w:cs="Arial" w:ascii="Arial" w:hAnsi="Arial"/>
          <w:sz w:val="22"/>
        </w:rPr>
        <w:t>Employees shall read the Corporate Health &amp; Safety – Organisation Part B Policy to ascertain and understand their responsibilities as an employee, line manager, Assistant Director or Director of the Council.</w:t>
      </w:r>
    </w:p>
    <w:p>
      <w:pPr>
        <w:pStyle w:val="Normal"/>
        <w:keepNext w:val="true"/>
        <w:rPr>
          <w:rFonts w:ascii="Arial" w:hAnsi="Arial" w:cs="Arial"/>
          <w:b/>
          <w:b/>
          <w:bCs/>
          <w:color w:val="000000"/>
          <w:szCs w:val="24"/>
          <w:lang w:val="en-US"/>
        </w:rPr>
      </w:pPr>
      <w:r>
        <w:rPr>
          <w:rFonts w:cs="Arial" w:ascii="Arial" w:hAnsi="Arial"/>
          <w:b/>
          <w:bCs/>
          <w:color w:val="000000"/>
          <w:szCs w:val="24"/>
          <w:lang w:val="en-US"/>
        </w:rPr>
      </w:r>
    </w:p>
    <w:tbl>
      <w:tblPr>
        <w:tblW w:w="9082" w:type="dxa"/>
        <w:jc w:val="left"/>
        <w:tblInd w:w="-4" w:type="dxa"/>
        <w:tblCellMar>
          <w:top w:w="0" w:type="dxa"/>
          <w:left w:w="108" w:type="dxa"/>
          <w:bottom w:w="0" w:type="dxa"/>
          <w:right w:w="108" w:type="dxa"/>
        </w:tblCellMar>
      </w:tblPr>
      <w:tblGrid>
        <w:gridCol w:w="9082"/>
      </w:tblGrid>
      <w:tr>
        <w:trPr/>
        <w:tc>
          <w:tcPr>
            <w:tcW w:w="9082"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left"/>
              <w:rPr>
                <w:color w:val="800080"/>
                <w:sz w:val="22"/>
              </w:rPr>
            </w:pPr>
            <w:r>
              <w:rPr>
                <w:color w:val="800080"/>
                <w:sz w:val="22"/>
              </w:rPr>
              <w:t>Information Security:</w:t>
            </w:r>
            <w:bookmarkStart w:id="0" w:name="_Hlk65158475"/>
            <w:bookmarkEnd w:id="0"/>
          </w:p>
        </w:tc>
      </w:tr>
    </w:tbl>
    <w:p>
      <w:pPr>
        <w:pStyle w:val="Normal"/>
        <w:keepNext w:val="true"/>
        <w:rPr>
          <w:rFonts w:ascii="Arial" w:hAnsi="Arial" w:cs="Arial"/>
          <w:b/>
          <w:b/>
          <w:bCs/>
          <w:color w:val="000000"/>
          <w:szCs w:val="24"/>
          <w:lang w:val="en-US"/>
        </w:rPr>
      </w:pPr>
      <w:r>
        <w:rPr>
          <w:rFonts w:cs="Arial" w:ascii="Arial" w:hAnsi="Arial"/>
          <w:b/>
          <w:bCs/>
          <w:color w:val="000000"/>
          <w:szCs w:val="24"/>
          <w:lang w:val="en-US"/>
        </w:rPr>
      </w:r>
    </w:p>
    <w:p>
      <w:pPr>
        <w:pStyle w:val="BodyText2"/>
        <w:rPr/>
      </w:pPr>
      <w:r>
        <w:rPr/>
        <w:t>In order to protect the confidentiality, integrity and availability of Council information, including information provided by customers, partner organisations, and other third parties, where applicable, employees will comply with the Council’s Information Security Policy.</w:t>
      </w:r>
    </w:p>
    <w:p>
      <w:pPr>
        <w:pStyle w:val="BodyText2"/>
        <w:rPr/>
      </w:pPr>
      <w:r>
        <w:rPr/>
      </w:r>
    </w:p>
    <w:p>
      <w:pPr>
        <w:pStyle w:val="BodyText2"/>
        <w:rPr/>
      </w:pPr>
      <w:r>
        <w:rPr/>
      </w:r>
    </w:p>
    <w:tbl>
      <w:tblPr>
        <w:tblW w:w="9082" w:type="dxa"/>
        <w:jc w:val="left"/>
        <w:tblInd w:w="-4" w:type="dxa"/>
        <w:tblCellMar>
          <w:top w:w="0" w:type="dxa"/>
          <w:left w:w="108" w:type="dxa"/>
          <w:bottom w:w="0" w:type="dxa"/>
          <w:right w:w="108" w:type="dxa"/>
        </w:tblCellMar>
      </w:tblPr>
      <w:tblGrid>
        <w:gridCol w:w="9082"/>
      </w:tblGrid>
      <w:tr>
        <w:trPr/>
        <w:tc>
          <w:tcPr>
            <w:tcW w:w="9082"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left"/>
              <w:rPr>
                <w:color w:val="800080"/>
                <w:sz w:val="22"/>
              </w:rPr>
            </w:pPr>
            <w:r>
              <w:rPr>
                <w:color w:val="800080"/>
                <w:sz w:val="22"/>
              </w:rPr>
              <w:t>Other duties &amp; responsibilities:</w:t>
            </w:r>
          </w:p>
        </w:tc>
      </w:tr>
    </w:tbl>
    <w:p>
      <w:pPr>
        <w:pStyle w:val="BodyText2"/>
        <w:rPr/>
      </w:pPr>
      <w:r>
        <w:rPr/>
      </w:r>
    </w:p>
    <w:p>
      <w:pPr>
        <w:pStyle w:val="Normal"/>
        <w:rPr>
          <w:rFonts w:ascii="Arial" w:hAnsi="Arial" w:cs="Arial"/>
          <w:iCs/>
          <w:color w:val="000000"/>
          <w:sz w:val="22"/>
          <w:szCs w:val="22"/>
        </w:rPr>
      </w:pPr>
      <w:r>
        <w:rPr>
          <w:rFonts w:cs="Arial" w:ascii="Arial" w:hAnsi="Arial"/>
          <w:iCs/>
          <w:color w:val="000000"/>
          <w:sz w:val="22"/>
          <w:szCs w:val="22"/>
        </w:rPr>
        <w:t>This Job Role Profile is not to be regarded as exclusive or exhaustive. There will be other duties and requirements associated with your post and in addition, as a term of your employment, you may be required to undertake various other duties as may be reasonably required of you. This includes making yourself available to participate in a range of corporate initiatives as determined by your Line Manager. These could include activities such as participation in the Civil Emergencies Planning Rota, supporting the Scrutiny function, actively leading/participating in a range of cross-functioning review and working groups.</w:t>
      </w:r>
    </w:p>
    <w:p>
      <w:pPr>
        <w:pStyle w:val="BodyText2"/>
        <w:rPr/>
      </w:pPr>
      <w:r>
        <w:rPr/>
      </w:r>
    </w:p>
    <w:p>
      <w:pPr>
        <w:pStyle w:val="BodyText2"/>
        <w:rPr/>
      </w:pPr>
      <w:r>
        <w:rPr/>
      </w:r>
    </w:p>
    <w:tbl>
      <w:tblPr>
        <w:tblW w:w="9082" w:type="dxa"/>
        <w:jc w:val="left"/>
        <w:tblInd w:w="-4" w:type="dxa"/>
        <w:tblCellMar>
          <w:top w:w="0" w:type="dxa"/>
          <w:left w:w="108" w:type="dxa"/>
          <w:bottom w:w="0" w:type="dxa"/>
          <w:right w:w="108" w:type="dxa"/>
        </w:tblCellMar>
      </w:tblPr>
      <w:tblGrid>
        <w:gridCol w:w="9082"/>
      </w:tblGrid>
      <w:tr>
        <w:trPr/>
        <w:tc>
          <w:tcPr>
            <w:tcW w:w="9082"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left"/>
              <w:rPr>
                <w:color w:val="800080"/>
                <w:sz w:val="22"/>
              </w:rPr>
            </w:pPr>
            <w:r>
              <w:rPr>
                <w:color w:val="800080"/>
                <w:sz w:val="22"/>
              </w:rPr>
              <w:t>Statement of Commitment to Safeguarding of Children and Vulnerable Adults through safer employment practice:</w:t>
            </w:r>
          </w:p>
        </w:tc>
      </w:tr>
    </w:tbl>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Enfield Council is committed to safeguarding and promoting the welfare of children and vulnerable adults. Safe recruitment of staff is central to this commitment, and the Council will ensure that its recruitment policies and practices are robust, and that selection procedures prevent unsuitable people from gaining access to children, young people and vulnerable adults.  All staff employed to work with or on behalf of children and young people in the Council must be competent.</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 xml:space="preserve">All staff working with Children &amp; Vulnerable Adults should be aware of and share the commitment to safeguarding and promoting the welfare of children, young people and vulnerable adults when applying for posts at Enfield Council. </w:t>
      </w:r>
    </w:p>
    <w:p>
      <w:pPr>
        <w:pStyle w:val="ErSer"/>
        <w:tabs>
          <w:tab w:val="clear" w:pos="990"/>
        </w:tabs>
        <w:rPr>
          <w:rFonts w:cs="Arial"/>
        </w:rPr>
      </w:pPr>
      <w:r>
        <w:rPr>
          <w:rFonts w:cs="Arial"/>
        </w:rPr>
      </w:r>
    </w:p>
    <w:p>
      <w:pPr>
        <w:pStyle w:val="ErSer"/>
        <w:tabs>
          <w:tab w:val="clear" w:pos="990"/>
        </w:tabs>
        <w:rPr>
          <w:rFonts w:cs="Arial"/>
        </w:rPr>
      </w:pPr>
      <w:r>
        <w:rPr>
          <w:rFonts w:cs="Arial"/>
        </w:rPr>
      </w:r>
    </w:p>
    <w:p>
      <w:pPr>
        <w:pStyle w:val="ErSer"/>
        <w:tabs>
          <w:tab w:val="clear" w:pos="990"/>
        </w:tabs>
        <w:rPr>
          <w:rFonts w:cs="Arial"/>
        </w:rPr>
      </w:pPr>
      <w:r>
        <w:rPr>
          <w:rFonts w:cs="Arial"/>
        </w:rPr>
      </w:r>
    </w:p>
    <w:p>
      <w:pPr>
        <w:pStyle w:val="ErSer"/>
        <w:tabs>
          <w:tab w:val="clear" w:pos="990"/>
        </w:tabs>
        <w:rPr>
          <w:rFonts w:cs="Arial"/>
        </w:rPr>
      </w:pPr>
      <w:r>
        <w:rPr>
          <w:rFonts w:cs="Arial"/>
        </w:rPr>
      </w:r>
    </w:p>
    <w:p>
      <w:pPr>
        <w:pStyle w:val="ErSer"/>
        <w:tabs>
          <w:tab w:val="clear" w:pos="990"/>
        </w:tabs>
        <w:rPr>
          <w:rFonts w:cs="Arial"/>
        </w:rPr>
      </w:pPr>
      <w:r>
        <w:rPr>
          <w:rFonts w:cs="Arial"/>
        </w:rPr>
      </w:r>
    </w:p>
    <w:p>
      <w:pPr>
        <w:sectPr>
          <w:footerReference w:type="default" r:id="rId3"/>
          <w:type w:val="nextPage"/>
          <w:pgSz w:w="11906" w:h="16838"/>
          <w:pgMar w:left="1440" w:right="1440" w:header="0" w:top="680" w:footer="431" w:bottom="1440" w:gutter="0"/>
          <w:pgNumType w:start="1" w:fmt="decimal"/>
          <w:formProt w:val="false"/>
          <w:textDirection w:val="lrTb"/>
          <w:docGrid w:type="default" w:linePitch="100" w:charSpace="0"/>
        </w:sectPr>
        <w:pStyle w:val="ErSer"/>
        <w:tabs>
          <w:tab w:val="clear" w:pos="990"/>
        </w:tabs>
        <w:rPr>
          <w:rFonts w:cs="Arial"/>
        </w:rPr>
      </w:pPr>
      <w:r>
        <w:rPr>
          <w:rFonts w:cs="Arial"/>
        </w:rPr>
      </w:r>
    </w:p>
    <w:tbl>
      <w:tblPr>
        <w:tblW w:w="14010" w:type="dxa"/>
        <w:jc w:val="center"/>
        <w:tblInd w:w="0" w:type="dxa"/>
        <w:tblCellMar>
          <w:top w:w="0" w:type="dxa"/>
          <w:left w:w="108" w:type="dxa"/>
          <w:bottom w:w="0" w:type="dxa"/>
          <w:right w:w="108" w:type="dxa"/>
        </w:tblCellMar>
      </w:tblPr>
      <w:tblGrid>
        <w:gridCol w:w="14010"/>
      </w:tblGrid>
      <w:tr>
        <w:trPr/>
        <w:tc>
          <w:tcPr>
            <w:tcW w:w="14010"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center"/>
              <w:rPr>
                <w:color w:val="7030A0"/>
                <w:sz w:val="28"/>
              </w:rPr>
            </w:pPr>
            <w:r>
              <w:rPr>
                <w:color w:val="7030A0"/>
                <w:sz w:val="28"/>
              </w:rPr>
              <w:t>PERSON SPECIFICATION</w:t>
            </w:r>
          </w:p>
        </w:tc>
      </w:tr>
    </w:tbl>
    <w:p>
      <w:pPr>
        <w:pStyle w:val="Normal"/>
        <w:rPr>
          <w:rFonts w:ascii="Arial" w:hAnsi="Arial" w:cs="Arial"/>
          <w:b/>
          <w:b/>
          <w:color w:val="7030A0"/>
          <w:sz w:val="22"/>
          <w:szCs w:val="22"/>
        </w:rPr>
      </w:pPr>
      <w:r>
        <w:rPr>
          <w:rFonts w:cs="Arial" w:ascii="Arial" w:hAnsi="Arial"/>
          <w:b/>
          <w:color w:val="7030A0"/>
          <w:sz w:val="22"/>
          <w:szCs w:val="22"/>
        </w:rPr>
      </w:r>
    </w:p>
    <w:p>
      <w:pPr>
        <w:pStyle w:val="Normal"/>
        <w:rPr/>
      </w:pPr>
      <w:r>
        <w:rPr>
          <w:rFonts w:cs="Arial" w:ascii="Arial" w:hAnsi="Arial"/>
          <w:b/>
          <w:color w:val="7030A0"/>
          <w:sz w:val="22"/>
          <w:szCs w:val="22"/>
        </w:rPr>
        <w:t xml:space="preserve">Job Title: </w:t>
        <w:tab/>
        <w:tab/>
        <w:t xml:space="preserve">Service Manager Children in Care </w:t>
        <w:tab/>
        <w:tab/>
        <w:tab/>
        <w:tab/>
        <w:tab/>
      </w:r>
      <w:r>
        <w:rPr>
          <w:rFonts w:cs="Arial" w:ascii="Arial" w:hAnsi="Arial"/>
          <w:color w:val="7030A0"/>
          <w:sz w:val="22"/>
          <w:szCs w:val="22"/>
        </w:rPr>
        <w:tab/>
        <w:tab/>
      </w:r>
      <w:r>
        <w:rPr>
          <w:rFonts w:cs="Arial" w:ascii="Arial" w:hAnsi="Arial"/>
          <w:b/>
          <w:color w:val="7030A0"/>
          <w:sz w:val="22"/>
          <w:szCs w:val="22"/>
        </w:rPr>
        <w:t>Grade: HOS2</w:t>
      </w:r>
    </w:p>
    <w:p>
      <w:pPr>
        <w:pStyle w:val="Normal"/>
        <w:ind w:left="0" w:right="0" w:firstLine="851"/>
        <w:rPr>
          <w:rFonts w:ascii="Arial" w:hAnsi="Arial" w:cs="Arial"/>
          <w:b/>
          <w:b/>
          <w:color w:val="7030A0"/>
          <w:sz w:val="22"/>
          <w:szCs w:val="22"/>
        </w:rPr>
      </w:pPr>
      <w:r>
        <w:rPr>
          <w:rFonts w:cs="Arial" w:ascii="Arial" w:hAnsi="Arial"/>
          <w:b/>
          <w:color w:val="7030A0"/>
          <w:sz w:val="22"/>
          <w:szCs w:val="22"/>
        </w:rPr>
      </w:r>
    </w:p>
    <w:p>
      <w:pPr>
        <w:pStyle w:val="Normal"/>
        <w:rPr/>
      </w:pPr>
      <w:r>
        <w:rPr>
          <w:rFonts w:cs="Arial" w:ascii="Arial" w:hAnsi="Arial"/>
          <w:b/>
          <w:color w:val="7030A0"/>
          <w:sz w:val="22"/>
          <w:szCs w:val="22"/>
        </w:rPr>
        <w:t>Department:</w:t>
      </w:r>
      <w:r>
        <w:rPr>
          <w:rFonts w:cs="Arial" w:ascii="Arial" w:hAnsi="Arial"/>
          <w:color w:val="7030A0"/>
          <w:sz w:val="22"/>
          <w:szCs w:val="22"/>
        </w:rPr>
        <w:t xml:space="preserve"> </w:t>
        <w:tab/>
        <w:tab/>
        <w:t xml:space="preserve">People </w:t>
        <w:tab/>
        <w:tab/>
        <w:tab/>
        <w:tab/>
        <w:tab/>
        <w:tab/>
        <w:tab/>
        <w:tab/>
      </w:r>
      <w:r>
        <w:rPr>
          <w:rFonts w:cs="Arial" w:ascii="Arial" w:hAnsi="Arial"/>
          <w:b/>
          <w:color w:val="7030A0"/>
          <w:sz w:val="22"/>
          <w:szCs w:val="22"/>
        </w:rPr>
        <w:t>Service: Children in Care and Care Leavers</w:t>
      </w:r>
    </w:p>
    <w:p>
      <w:pPr>
        <w:pStyle w:val="Normal"/>
        <w:ind w:left="851" w:right="0" w:hanging="0"/>
        <w:rPr>
          <w:rFonts w:ascii="Arial" w:hAnsi="Arial" w:cs="Arial"/>
          <w:b/>
          <w:b/>
          <w:color w:val="7030A0"/>
          <w:sz w:val="20"/>
        </w:rPr>
      </w:pPr>
      <w:r>
        <w:rPr>
          <w:rFonts w:cs="Arial" w:ascii="Arial" w:hAnsi="Arial"/>
          <w:b/>
          <w:color w:val="7030A0"/>
          <w:sz w:val="20"/>
        </w:rPr>
      </w:r>
    </w:p>
    <w:tbl>
      <w:tblPr>
        <w:tblW w:w="14347" w:type="dxa"/>
        <w:jc w:val="left"/>
        <w:tblInd w:w="-299" w:type="dxa"/>
        <w:tblCellMar>
          <w:top w:w="0" w:type="dxa"/>
          <w:left w:w="107" w:type="dxa"/>
          <w:bottom w:w="0" w:type="dxa"/>
          <w:right w:w="107" w:type="dxa"/>
        </w:tblCellMar>
      </w:tblPr>
      <w:tblGrid>
        <w:gridCol w:w="12617"/>
        <w:gridCol w:w="1730"/>
      </w:tblGrid>
      <w:tr>
        <w:trPr>
          <w:trHeight w:val="1136" w:hRule="exact"/>
        </w:trPr>
        <w:tc>
          <w:tcPr>
            <w:tcW w:w="12617" w:type="dxa"/>
            <w:tcBorders>
              <w:top w:val="single" w:sz="12" w:space="0" w:color="000000"/>
              <w:left w:val="single" w:sz="12" w:space="0" w:color="000000"/>
              <w:bottom w:val="single" w:sz="6" w:space="0" w:color="000000"/>
            </w:tcBorders>
            <w:shd w:fill="auto" w:val="clear"/>
            <w:vAlign w:val="center"/>
          </w:tcPr>
          <w:p>
            <w:pPr>
              <w:pStyle w:val="Normal"/>
              <w:snapToGrid w:val="false"/>
              <w:spacing w:before="140" w:after="140"/>
              <w:ind w:left="35" w:right="0" w:hanging="0"/>
              <w:rPr>
                <w:rFonts w:ascii="Arial" w:hAnsi="Arial" w:cs="Arial"/>
                <w:color w:val="7030A0"/>
                <w:sz w:val="22"/>
                <w:szCs w:val="22"/>
              </w:rPr>
            </w:pPr>
            <w:r>
              <w:rPr>
                <w:rFonts w:cs="Arial" w:ascii="Arial" w:hAnsi="Arial"/>
                <w:color w:val="7030A0"/>
                <w:sz w:val="22"/>
                <w:szCs w:val="22"/>
              </w:rPr>
            </w:r>
          </w:p>
        </w:tc>
        <w:tc>
          <w:tcPr>
            <w:tcW w:w="1730" w:type="dxa"/>
            <w:tcBorders>
              <w:top w:val="single" w:sz="12" w:space="0" w:color="000000"/>
              <w:left w:val="single" w:sz="6" w:space="0" w:color="000000"/>
              <w:bottom w:val="single" w:sz="6" w:space="0" w:color="000000"/>
              <w:right w:val="single" w:sz="12" w:space="0" w:color="000000"/>
            </w:tcBorders>
            <w:shd w:fill="auto" w:val="clear"/>
          </w:tcPr>
          <w:p>
            <w:pPr>
              <w:pStyle w:val="Normal"/>
              <w:rPr>
                <w:rFonts w:ascii="Arial" w:hAnsi="Arial" w:cs="Arial"/>
                <w:b/>
                <w:b/>
                <w:caps/>
                <w:color w:val="7030A0"/>
                <w:sz w:val="22"/>
                <w:szCs w:val="22"/>
              </w:rPr>
            </w:pPr>
            <w:r>
              <w:rPr>
                <w:rFonts w:cs="Arial" w:ascii="Arial" w:hAnsi="Arial"/>
                <w:b/>
                <w:caps/>
                <w:color w:val="7030A0"/>
                <w:sz w:val="22"/>
                <w:szCs w:val="22"/>
              </w:rPr>
              <w:t>HOW TESTED</w:t>
            </w:r>
          </w:p>
          <w:p>
            <w:pPr>
              <w:pStyle w:val="Normal"/>
              <w:rPr>
                <w:rFonts w:ascii="Arial" w:hAnsi="Arial" w:cs="Arial"/>
                <w:sz w:val="22"/>
                <w:szCs w:val="22"/>
              </w:rPr>
            </w:pPr>
            <w:r>
              <w:rPr>
                <w:rFonts w:cs="Arial" w:ascii="Arial" w:hAnsi="Arial"/>
                <w:sz w:val="22"/>
                <w:szCs w:val="22"/>
              </w:rPr>
              <w:t>Application – A</w:t>
            </w:r>
          </w:p>
          <w:p>
            <w:pPr>
              <w:pStyle w:val="Normal"/>
              <w:rPr>
                <w:rFonts w:ascii="Arial" w:hAnsi="Arial" w:cs="Arial"/>
                <w:sz w:val="22"/>
                <w:szCs w:val="22"/>
              </w:rPr>
            </w:pPr>
            <w:r>
              <w:rPr>
                <w:rFonts w:cs="Arial" w:ascii="Arial" w:hAnsi="Arial"/>
                <w:sz w:val="22"/>
                <w:szCs w:val="22"/>
              </w:rPr>
              <w:t>Test – T</w:t>
            </w:r>
          </w:p>
          <w:p>
            <w:pPr>
              <w:pStyle w:val="Normal"/>
              <w:rPr/>
            </w:pPr>
            <w:r>
              <w:rPr>
                <w:rFonts w:cs="Arial" w:ascii="Arial" w:hAnsi="Arial"/>
                <w:sz w:val="22"/>
                <w:szCs w:val="22"/>
              </w:rPr>
              <w:t>Interview – I</w:t>
            </w:r>
            <w:r>
              <w:rPr>
                <w:rFonts w:cs="Arial" w:ascii="Arial" w:hAnsi="Arial"/>
                <w:color w:val="7030A0"/>
                <w:sz w:val="22"/>
                <w:szCs w:val="22"/>
              </w:rPr>
              <w:t xml:space="preserve"> </w:t>
            </w:r>
          </w:p>
        </w:tc>
      </w:tr>
      <w:tr>
        <w:trPr>
          <w:trHeight w:val="2083" w:hRule="atLeast"/>
        </w:trPr>
        <w:tc>
          <w:tcPr>
            <w:tcW w:w="12617" w:type="dxa"/>
            <w:tcBorders>
              <w:top w:val="single" w:sz="6" w:space="0" w:color="000000"/>
              <w:left w:val="single" w:sz="12" w:space="0" w:color="000000"/>
              <w:bottom w:val="single" w:sz="6" w:space="0" w:color="000000"/>
            </w:tcBorders>
            <w:shd w:fill="D9D9D9" w:val="clear"/>
            <w:vAlign w:val="center"/>
          </w:tcPr>
          <w:p>
            <w:pPr>
              <w:pStyle w:val="Normal"/>
              <w:rPr>
                <w:rFonts w:ascii="Arial" w:hAnsi="Arial" w:cs="Arial"/>
                <w:b/>
                <w:b/>
                <w:bCs/>
                <w:color w:val="7030A0"/>
                <w:sz w:val="22"/>
                <w:szCs w:val="22"/>
              </w:rPr>
            </w:pPr>
            <w:r>
              <w:rPr>
                <w:rFonts w:cs="Arial" w:ascii="Arial" w:hAnsi="Arial"/>
                <w:b/>
                <w:bCs/>
                <w:color w:val="7030A0"/>
                <w:sz w:val="22"/>
                <w:szCs w:val="22"/>
              </w:rPr>
              <w:t>Job Specifics – Skills, Experience, Knowledge &amp; Abilities</w:t>
            </w:r>
          </w:p>
          <w:p>
            <w:pPr>
              <w:pStyle w:val="Heading1"/>
              <w:jc w:val="left"/>
              <w:rPr/>
            </w:pPr>
            <w:r>
              <w:rPr/>
            </w:r>
          </w:p>
          <w:p>
            <w:pPr>
              <w:pStyle w:val="Normal"/>
              <w:rPr>
                <w:rFonts w:ascii="Arial" w:hAnsi="Arial" w:cs="Arial"/>
                <w:b/>
                <w:b/>
                <w:color w:val="7030A0"/>
                <w:sz w:val="22"/>
                <w:szCs w:val="22"/>
              </w:rPr>
            </w:pPr>
            <w:r>
              <w:rPr>
                <w:rFonts w:cs="Arial" w:ascii="Arial" w:hAnsi="Arial"/>
                <w:b/>
                <w:color w:val="7030A0"/>
                <w:sz w:val="22"/>
                <w:szCs w:val="22"/>
              </w:rPr>
              <w:t>Essential:</w:t>
            </w:r>
          </w:p>
          <w:p>
            <w:pPr>
              <w:pStyle w:val="Normal"/>
              <w:rPr>
                <w:rFonts w:ascii="Arial" w:hAnsi="Arial" w:cs="Arial"/>
                <w:b/>
                <w:b/>
                <w:color w:val="7030A0"/>
                <w:sz w:val="22"/>
                <w:szCs w:val="22"/>
              </w:rPr>
            </w:pPr>
            <w:r>
              <w:rPr>
                <w:rFonts w:cs="Arial" w:ascii="Arial" w:hAnsi="Arial"/>
                <w:b/>
                <w:color w:val="7030A0"/>
                <w:sz w:val="22"/>
                <w:szCs w:val="22"/>
              </w:rPr>
            </w:r>
          </w:p>
          <w:p>
            <w:pPr>
              <w:pStyle w:val="Normal"/>
              <w:numPr>
                <w:ilvl w:val="0"/>
                <w:numId w:val="6"/>
              </w:numPr>
              <w:rPr>
                <w:rFonts w:ascii="Arial" w:hAnsi="Arial" w:cs="Arial"/>
                <w:b/>
                <w:b/>
                <w:bCs/>
                <w:sz w:val="22"/>
                <w:szCs w:val="22"/>
              </w:rPr>
            </w:pPr>
            <w:r>
              <w:rPr>
                <w:rFonts w:cs="Arial" w:ascii="Arial" w:hAnsi="Arial"/>
                <w:b/>
                <w:bCs/>
                <w:sz w:val="22"/>
                <w:szCs w:val="22"/>
              </w:rPr>
              <w:t>Proven experience of leading, engaging, motivating, appraising and developing staff to deliver high standards of service quality and performance.</w:t>
            </w:r>
          </w:p>
          <w:p>
            <w:pPr>
              <w:pStyle w:val="Normal"/>
              <w:numPr>
                <w:ilvl w:val="0"/>
                <w:numId w:val="6"/>
              </w:numPr>
              <w:rPr>
                <w:rFonts w:ascii="Arial" w:hAnsi="Arial" w:cs="Arial"/>
                <w:b/>
                <w:b/>
                <w:bCs/>
                <w:sz w:val="22"/>
                <w:szCs w:val="22"/>
              </w:rPr>
            </w:pPr>
            <w:r>
              <w:rPr>
                <w:rFonts w:cs="Arial" w:ascii="Arial" w:hAnsi="Arial"/>
                <w:b/>
                <w:bCs/>
                <w:sz w:val="22"/>
                <w:szCs w:val="22"/>
              </w:rPr>
              <w:t>Experience of successfully leading teams through change and supporting staff to respond positively to new ways of working.</w:t>
            </w:r>
          </w:p>
          <w:p>
            <w:pPr>
              <w:pStyle w:val="Normal"/>
              <w:numPr>
                <w:ilvl w:val="0"/>
                <w:numId w:val="6"/>
              </w:numPr>
              <w:rPr>
                <w:rFonts w:ascii="Arial" w:hAnsi="Arial" w:cs="Arial"/>
                <w:b/>
                <w:b/>
                <w:bCs/>
                <w:sz w:val="22"/>
                <w:szCs w:val="22"/>
              </w:rPr>
            </w:pPr>
            <w:r>
              <w:rPr>
                <w:rFonts w:cs="Arial" w:ascii="Arial" w:hAnsi="Arial"/>
                <w:b/>
                <w:bCs/>
                <w:sz w:val="22"/>
                <w:szCs w:val="22"/>
              </w:rPr>
              <w:t>Experience of effective budget management and delivering service plans on time and within budget.</w:t>
            </w:r>
          </w:p>
          <w:p>
            <w:pPr>
              <w:pStyle w:val="Normal"/>
              <w:numPr>
                <w:ilvl w:val="0"/>
                <w:numId w:val="6"/>
              </w:numPr>
              <w:rPr>
                <w:rFonts w:ascii="Arial" w:hAnsi="Arial" w:cs="Arial"/>
                <w:b/>
                <w:b/>
                <w:bCs/>
                <w:sz w:val="22"/>
                <w:szCs w:val="22"/>
              </w:rPr>
            </w:pPr>
            <w:r>
              <w:rPr>
                <w:rFonts w:cs="Arial" w:ascii="Arial" w:hAnsi="Arial"/>
                <w:b/>
                <w:bCs/>
                <w:sz w:val="22"/>
                <w:szCs w:val="22"/>
              </w:rPr>
              <w:t>Good understanding of local authority political structures, governance arrangements and the role of elected members.</w:t>
            </w:r>
          </w:p>
          <w:p>
            <w:pPr>
              <w:pStyle w:val="Normal"/>
              <w:numPr>
                <w:ilvl w:val="0"/>
                <w:numId w:val="6"/>
              </w:numPr>
              <w:rPr>
                <w:rFonts w:ascii="Arial" w:hAnsi="Arial" w:cs="Arial"/>
                <w:b/>
                <w:b/>
                <w:bCs/>
                <w:sz w:val="22"/>
                <w:szCs w:val="22"/>
              </w:rPr>
            </w:pPr>
            <w:r>
              <w:rPr>
                <w:rFonts w:cs="Arial" w:ascii="Arial" w:hAnsi="Arial"/>
                <w:b/>
                <w:bCs/>
                <w:sz w:val="22"/>
                <w:szCs w:val="22"/>
              </w:rPr>
              <w:t>As a regular and intrinsic part of this role, the post holder will be required to speak to members of the public in English. The ability to converse at ease, politely and courteously with customers and provide advice in accurate spoken English is essential and consistent with the requirements of this role.</w:t>
            </w:r>
          </w:p>
          <w:p>
            <w:pPr>
              <w:pStyle w:val="Normal"/>
              <w:numPr>
                <w:ilvl w:val="0"/>
                <w:numId w:val="6"/>
              </w:numPr>
              <w:rPr>
                <w:rFonts w:ascii="Arial" w:hAnsi="Arial" w:cs="Arial"/>
                <w:b/>
                <w:b/>
                <w:bCs/>
                <w:sz w:val="22"/>
                <w:szCs w:val="22"/>
              </w:rPr>
            </w:pPr>
            <w:r>
              <w:rPr>
                <w:rFonts w:cs="Arial" w:ascii="Arial" w:hAnsi="Arial"/>
                <w:b/>
                <w:bCs/>
                <w:sz w:val="22"/>
                <w:szCs w:val="22"/>
              </w:rPr>
              <w:t>Technical expertise sufficient to direct the work of staff within the service and influence service delivery across the department, Council and wider partnerships.</w:t>
            </w:r>
          </w:p>
          <w:p>
            <w:pPr>
              <w:pStyle w:val="Normal"/>
              <w:numPr>
                <w:ilvl w:val="0"/>
                <w:numId w:val="6"/>
              </w:numPr>
              <w:rPr>
                <w:rFonts w:ascii="Arial" w:hAnsi="Arial" w:cs="Arial"/>
                <w:b/>
                <w:b/>
                <w:bCs/>
                <w:sz w:val="22"/>
                <w:szCs w:val="22"/>
              </w:rPr>
            </w:pPr>
            <w:r>
              <w:rPr>
                <w:rFonts w:cs="Arial" w:ascii="Arial" w:hAnsi="Arial"/>
                <w:b/>
                <w:bCs/>
                <w:sz w:val="22"/>
                <w:szCs w:val="22"/>
              </w:rPr>
              <w:t>Experience of care planning for children in care and reporting to court.</w:t>
            </w:r>
          </w:p>
          <w:p>
            <w:pPr>
              <w:pStyle w:val="Normal"/>
              <w:numPr>
                <w:ilvl w:val="0"/>
                <w:numId w:val="6"/>
              </w:numPr>
              <w:rPr>
                <w:rFonts w:ascii="Arial" w:hAnsi="Arial" w:cs="Arial"/>
                <w:b/>
                <w:b/>
                <w:bCs/>
                <w:sz w:val="22"/>
                <w:szCs w:val="22"/>
              </w:rPr>
            </w:pPr>
            <w:r>
              <w:rPr>
                <w:rFonts w:cs="Arial" w:ascii="Arial" w:hAnsi="Arial"/>
                <w:b/>
                <w:bCs/>
                <w:sz w:val="22"/>
                <w:szCs w:val="22"/>
              </w:rPr>
              <w:t>Ability to work flexibly, including being office based for part of the working week in line with service requirements, management responsibility and the needs of staff and the service.</w:t>
            </w:r>
          </w:p>
          <w:p>
            <w:pPr>
              <w:pStyle w:val="Normal"/>
              <w:ind w:left="322" w:right="0" w:hanging="0"/>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Desirable:</w:t>
            </w:r>
          </w:p>
          <w:p>
            <w:pPr>
              <w:pStyle w:val="Normal"/>
              <w:numPr>
                <w:ilvl w:val="0"/>
                <w:numId w:val="7"/>
              </w:numPr>
              <w:rPr>
                <w:rFonts w:ascii="Arial" w:hAnsi="Arial" w:cs="Arial"/>
                <w:b/>
                <w:b/>
                <w:bCs/>
                <w:sz w:val="22"/>
                <w:szCs w:val="22"/>
              </w:rPr>
            </w:pPr>
            <w:r>
              <w:rPr>
                <w:rFonts w:cs="Arial" w:ascii="Arial" w:hAnsi="Arial"/>
                <w:b/>
                <w:bCs/>
                <w:sz w:val="22"/>
                <w:szCs w:val="22"/>
              </w:rPr>
              <w:t>Experience of working with the Family Safeguarding Model.</w:t>
            </w:r>
          </w:p>
          <w:p>
            <w:pPr>
              <w:pStyle w:val="Normal"/>
              <w:numPr>
                <w:ilvl w:val="0"/>
                <w:numId w:val="7"/>
              </w:numPr>
              <w:rPr>
                <w:rFonts w:ascii="Arial" w:hAnsi="Arial" w:cs="Arial"/>
                <w:b/>
                <w:b/>
                <w:bCs/>
                <w:sz w:val="22"/>
                <w:szCs w:val="22"/>
              </w:rPr>
            </w:pPr>
            <w:r>
              <w:rPr>
                <w:rFonts w:cs="Arial" w:ascii="Arial" w:hAnsi="Arial"/>
                <w:b/>
                <w:bCs/>
                <w:sz w:val="22"/>
                <w:szCs w:val="22"/>
              </w:rPr>
              <w:t>Experience of service user engagement and using feedback to inform service development.</w:t>
            </w:r>
          </w:p>
          <w:p>
            <w:pPr>
              <w:pStyle w:val="Normal"/>
              <w:numPr>
                <w:ilvl w:val="0"/>
                <w:numId w:val="7"/>
              </w:numPr>
              <w:rPr/>
            </w:pPr>
            <w:r>
              <w:rPr>
                <w:rFonts w:cs="Arial" w:ascii="Arial" w:hAnsi="Arial"/>
                <w:b/>
                <w:bCs/>
                <w:sz w:val="22"/>
                <w:szCs w:val="22"/>
              </w:rPr>
              <w:t>Management qualification</w:t>
            </w:r>
            <w:r>
              <w:rPr>
                <w:rFonts w:cs="Arial" w:ascii="Arial" w:hAnsi="Arial"/>
                <w:b/>
                <w:bCs/>
                <w:color w:val="FF0000"/>
                <w:sz w:val="22"/>
                <w:szCs w:val="22"/>
              </w:rPr>
              <w:t>.</w:t>
            </w:r>
          </w:p>
          <w:p>
            <w:pPr>
              <w:pStyle w:val="Normal"/>
              <w:rPr>
                <w:rFonts w:ascii="Arial" w:hAnsi="Arial" w:cs="Arial"/>
                <w:b/>
                <w:b/>
                <w:bCs/>
                <w:sz w:val="22"/>
                <w:szCs w:val="22"/>
              </w:rPr>
            </w:pPr>
            <w:r>
              <w:rPr>
                <w:rFonts w:cs="Arial" w:ascii="Arial" w:hAnsi="Arial"/>
                <w:b/>
                <w:bCs/>
                <w:sz w:val="22"/>
                <w:szCs w:val="22"/>
              </w:rPr>
            </w:r>
          </w:p>
        </w:tc>
        <w:tc>
          <w:tcPr>
            <w:tcW w:w="1730" w:type="dxa"/>
            <w:tcBorders>
              <w:top w:val="single" w:sz="6" w:space="0" w:color="000000"/>
              <w:left w:val="single" w:sz="6" w:space="0" w:color="000000"/>
              <w:bottom w:val="single" w:sz="6" w:space="0" w:color="000000"/>
              <w:right w:val="single" w:sz="12" w:space="0" w:color="000000"/>
            </w:tcBorders>
            <w:shd w:fill="D9D9D9" w:val="clear"/>
          </w:tcPr>
          <w:p>
            <w:pPr>
              <w:pStyle w:val="Normal"/>
              <w:snapToGrid w:val="false"/>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t>A/I</w:t>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t>A/I</w:t>
            </w:r>
          </w:p>
        </w:tc>
      </w:tr>
    </w:tbl>
    <w:tbl>
      <w:tblPr>
        <w:tblW w:w="14347" w:type="dxa"/>
        <w:jc w:val="left"/>
        <w:tblInd w:w="-299" w:type="dxa"/>
        <w:tblCellMar>
          <w:top w:w="0" w:type="dxa"/>
          <w:left w:w="107" w:type="dxa"/>
          <w:bottom w:w="0" w:type="dxa"/>
          <w:right w:w="107" w:type="dxa"/>
        </w:tblCellMar>
      </w:tblPr>
      <w:tblGrid>
        <w:gridCol w:w="12617"/>
        <w:gridCol w:w="1730"/>
      </w:tblGrid>
      <w:tr>
        <w:trPr>
          <w:trHeight w:val="2814" w:hRule="atLeast"/>
        </w:trPr>
        <w:tc>
          <w:tcPr>
            <w:tcW w:w="12617" w:type="dxa"/>
            <w:tcBorders>
              <w:top w:val="single" w:sz="6" w:space="0" w:color="000000"/>
              <w:left w:val="single" w:sz="12" w:space="0" w:color="000000"/>
              <w:bottom w:val="single" w:sz="6" w:space="0" w:color="000000"/>
            </w:tcBorders>
            <w:shd w:fill="auto" w:val="clear"/>
            <w:vAlign w:val="center"/>
          </w:tcPr>
          <w:p>
            <w:pPr>
              <w:pStyle w:val="Normal"/>
              <w:snapToGrid w:val="false"/>
              <w:rPr>
                <w:rFonts w:ascii="Arial" w:hAnsi="Arial" w:cs="Arial"/>
                <w:b/>
                <w:b/>
                <w:bCs/>
                <w:color w:val="7030A0"/>
                <w:sz w:val="22"/>
                <w:szCs w:val="22"/>
              </w:rPr>
            </w:pPr>
            <w:r>
              <w:rPr>
                <w:rFonts w:cs="Arial" w:ascii="Arial" w:hAnsi="Arial"/>
                <w:b/>
                <w:bCs/>
                <w:color w:val="7030A0"/>
                <w:sz w:val="22"/>
                <w:szCs w:val="22"/>
              </w:rPr>
            </w:r>
          </w:p>
          <w:p>
            <w:pPr>
              <w:pStyle w:val="Normal"/>
              <w:rPr>
                <w:rFonts w:ascii="Arial" w:hAnsi="Arial" w:cs="Arial"/>
                <w:b/>
                <w:b/>
                <w:bCs/>
                <w:color w:val="7030A0"/>
                <w:sz w:val="22"/>
                <w:szCs w:val="22"/>
              </w:rPr>
            </w:pPr>
            <w:r>
              <w:rPr>
                <w:rFonts w:cs="Arial" w:ascii="Arial" w:hAnsi="Arial"/>
                <w:b/>
                <w:bCs/>
                <w:color w:val="7030A0"/>
                <w:sz w:val="22"/>
                <w:szCs w:val="22"/>
              </w:rPr>
            </w:r>
          </w:p>
          <w:p>
            <w:pPr>
              <w:pStyle w:val="Normal"/>
              <w:rPr>
                <w:rFonts w:ascii="Arial" w:hAnsi="Arial" w:cs="Arial"/>
                <w:b/>
                <w:b/>
                <w:bCs/>
                <w:color w:val="7030A0"/>
                <w:sz w:val="22"/>
                <w:szCs w:val="22"/>
              </w:rPr>
            </w:pPr>
            <w:r>
              <w:rPr>
                <w:rFonts w:cs="Arial" w:ascii="Arial" w:hAnsi="Arial"/>
                <w:b/>
                <w:bCs/>
                <w:color w:val="7030A0"/>
                <w:sz w:val="22"/>
                <w:szCs w:val="22"/>
              </w:rPr>
              <w:t>Behaviours</w:t>
            </w:r>
          </w:p>
          <w:p>
            <w:pPr>
              <w:pStyle w:val="Normal"/>
              <w:rPr>
                <w:rFonts w:ascii="Arial" w:hAnsi="Arial" w:cs="Arial"/>
                <w:b/>
                <w:b/>
                <w:bCs/>
                <w:color w:val="7030A0"/>
                <w:sz w:val="22"/>
                <w:szCs w:val="22"/>
              </w:rPr>
            </w:pPr>
            <w:r>
              <w:rPr>
                <w:rFonts w:cs="Arial" w:ascii="Arial" w:hAnsi="Arial"/>
                <w:b/>
                <w:bCs/>
                <w:color w:val="7030A0"/>
                <w:sz w:val="22"/>
                <w:szCs w:val="22"/>
              </w:rPr>
            </w:r>
          </w:p>
          <w:p>
            <w:pPr>
              <w:pStyle w:val="Normal"/>
              <w:rPr>
                <w:rFonts w:ascii="Arial" w:hAnsi="Arial" w:cs="Arial"/>
                <w:sz w:val="22"/>
                <w:szCs w:val="22"/>
              </w:rPr>
            </w:pPr>
            <w:r>
              <w:rPr>
                <w:rFonts w:cs="Arial" w:ascii="Arial" w:hAnsi="Arial"/>
                <w:sz w:val="22"/>
                <w:szCs w:val="22"/>
              </w:rPr>
              <w:t xml:space="preserve">Appropriate behaviours are key to the delivery of our vision for Enfield. </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 xml:space="preserve">We want staff who will work collaboratively, flexibly and constructively, and exhibit this ethos in all their dealings with residents, colleagues and partners. Our leaders will be exemplars of the following behaviours and encourage them in staff at all levels;  </w:t>
            </w:r>
          </w:p>
          <w:p>
            <w:pPr>
              <w:pStyle w:val="Normal"/>
              <w:rPr>
                <w:rFonts w:ascii="Arial" w:hAnsi="Arial" w:cs="Arial"/>
                <w:b/>
                <w:b/>
                <w:bCs/>
                <w:color w:val="CE02C4"/>
                <w:sz w:val="22"/>
                <w:szCs w:val="22"/>
              </w:rPr>
            </w:pPr>
            <w:r>
              <w:rPr>
                <w:rFonts w:cs="Arial" w:ascii="Arial" w:hAnsi="Arial"/>
                <w:b/>
                <w:bCs/>
                <w:color w:val="CE02C4"/>
                <w:sz w:val="22"/>
                <w:szCs w:val="22"/>
              </w:rPr>
            </w:r>
          </w:p>
          <w:p>
            <w:pPr>
              <w:pStyle w:val="Normal"/>
              <w:rPr/>
            </w:pPr>
            <w:r>
              <w:rPr>
                <w:rFonts w:cs="Arial" w:ascii="Arial" w:hAnsi="Arial"/>
                <w:b/>
                <w:bCs/>
                <w:sz w:val="22"/>
                <w:szCs w:val="22"/>
              </w:rPr>
              <w:t>Take Responsibility</w:t>
            </w:r>
            <w:r>
              <w:rPr>
                <w:rFonts w:cs="Arial" w:ascii="Arial" w:hAnsi="Arial"/>
                <w:sz w:val="22"/>
                <w:szCs w:val="22"/>
              </w:rPr>
              <w:t xml:space="preserve"> </w:t>
            </w:r>
          </w:p>
          <w:p>
            <w:pPr>
              <w:pStyle w:val="Normal"/>
              <w:rPr>
                <w:rFonts w:ascii="Arial" w:hAnsi="Arial" w:cs="Arial"/>
                <w:sz w:val="22"/>
                <w:szCs w:val="22"/>
              </w:rPr>
            </w:pPr>
            <w:r>
              <w:rPr>
                <w:rFonts w:cs="Arial" w:ascii="Arial" w:hAnsi="Arial"/>
                <w:sz w:val="22"/>
                <w:szCs w:val="22"/>
              </w:rPr>
              <w:t>We want staff who are willing to make decisions and be accountable for them. Staff should have a positive can-do attitude where they see problems as challenges which can be overcome. They should accept responsibility for service delivery, be clear about their service offer and deliver what they promise.</w:t>
            </w:r>
          </w:p>
          <w:p>
            <w:pPr>
              <w:pStyle w:val="Normal"/>
              <w:rPr>
                <w:rFonts w:ascii="Arial" w:hAnsi="Arial" w:cs="Arial"/>
                <w:sz w:val="22"/>
                <w:szCs w:val="22"/>
              </w:rPr>
            </w:pPr>
            <w:r>
              <w:rPr>
                <w:rFonts w:cs="Arial" w:ascii="Arial" w:hAnsi="Arial"/>
                <w:sz w:val="22"/>
                <w:szCs w:val="22"/>
              </w:rPr>
            </w:r>
          </w:p>
          <w:p>
            <w:pPr>
              <w:pStyle w:val="Normal"/>
              <w:rPr>
                <w:rFonts w:ascii="Arial" w:hAnsi="Arial" w:cs="Arial"/>
                <w:b/>
                <w:b/>
                <w:bCs/>
                <w:sz w:val="22"/>
                <w:szCs w:val="22"/>
              </w:rPr>
            </w:pPr>
            <w:r>
              <w:rPr>
                <w:rFonts w:cs="Arial" w:ascii="Arial" w:hAnsi="Arial"/>
                <w:b/>
                <w:bCs/>
                <w:sz w:val="22"/>
                <w:szCs w:val="22"/>
              </w:rPr>
              <w:t>Open, Honest and Respectful</w:t>
            </w:r>
          </w:p>
          <w:p>
            <w:pPr>
              <w:pStyle w:val="Normal"/>
              <w:rPr>
                <w:rFonts w:ascii="Arial" w:hAnsi="Arial" w:cs="Arial"/>
                <w:sz w:val="22"/>
                <w:szCs w:val="22"/>
              </w:rPr>
            </w:pPr>
            <w:r>
              <w:rPr>
                <w:rFonts w:cs="Arial" w:ascii="Arial" w:hAnsi="Arial"/>
                <w:sz w:val="22"/>
                <w:szCs w:val="22"/>
              </w:rPr>
              <w:t>We want staff who are comfortable and confident to acknowledge the difficulties and the barriers they face. They should also be able to constructively challenge the way things are done where there is evidence that it impedes service delivery. Challenge should be conducted in a professional, courteous manner with the aim of reaching a mutually agreeable resolution.</w:t>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t>Listen and Learn</w:t>
            </w:r>
          </w:p>
          <w:p>
            <w:pPr>
              <w:pStyle w:val="Normal"/>
              <w:rPr>
                <w:rFonts w:ascii="Arial" w:hAnsi="Arial" w:cs="Arial"/>
                <w:sz w:val="22"/>
                <w:szCs w:val="22"/>
              </w:rPr>
            </w:pPr>
            <w:r>
              <w:rPr>
                <w:rFonts w:cs="Arial" w:ascii="Arial" w:hAnsi="Arial"/>
                <w:sz w:val="22"/>
                <w:szCs w:val="22"/>
              </w:rPr>
              <w:t>We want staff who are prepared to actively listen and reflect on customer concerns with a view to understanding the customer’s point of view. Staff should be able to receive constructive criticism and be prepared to adapt the way they operate and deliver services where appropriate.</w:t>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t>Work Together to find solutions</w:t>
            </w:r>
          </w:p>
          <w:p>
            <w:pPr>
              <w:pStyle w:val="Normal"/>
              <w:rPr>
                <w:rFonts w:ascii="Arial" w:hAnsi="Arial" w:cs="Arial"/>
                <w:sz w:val="22"/>
                <w:szCs w:val="22"/>
              </w:rPr>
            </w:pPr>
            <w:r>
              <w:rPr>
                <w:rFonts w:cs="Arial" w:ascii="Arial" w:hAnsi="Arial"/>
                <w:sz w:val="22"/>
                <w:szCs w:val="22"/>
              </w:rPr>
              <w:t xml:space="preserve">We want staff who can work collaboratively with other departments and partners, freely sharing their knowledge and skills to identify solutions to address customer concerns. </w:t>
            </w:r>
          </w:p>
          <w:p>
            <w:pPr>
              <w:pStyle w:val="Normal"/>
              <w:rPr>
                <w:rFonts w:ascii="Arial" w:hAnsi="Arial" w:cs="Arial"/>
              </w:rPr>
            </w:pPr>
            <w:r>
              <w:rPr>
                <w:rFonts w:cs="Arial" w:ascii="Arial" w:hAnsi="Arial"/>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color w:val="7030A0"/>
                <w:sz w:val="22"/>
                <w:szCs w:val="22"/>
              </w:rPr>
            </w:pPr>
            <w:r>
              <w:rPr>
                <w:rFonts w:cs="Arial" w:ascii="Arial" w:hAnsi="Arial"/>
                <w:b/>
                <w:bCs/>
                <w:color w:val="7030A0"/>
                <w:sz w:val="22"/>
                <w:szCs w:val="22"/>
              </w:rPr>
              <w:t>Candidates: Please ensure you address these behaviours in your responses to the essential (and desirable if applicable) criteria above.</w:t>
            </w:r>
          </w:p>
          <w:p>
            <w:pPr>
              <w:pStyle w:val="Normal"/>
              <w:rPr>
                <w:rFonts w:ascii="Arial" w:hAnsi="Arial" w:cs="Arial"/>
                <w:b/>
                <w:b/>
                <w:bCs/>
                <w:color w:val="800080"/>
                <w:sz w:val="22"/>
                <w:szCs w:val="22"/>
              </w:rPr>
            </w:pPr>
            <w:r>
              <w:rPr>
                <w:rFonts w:cs="Arial" w:ascii="Arial" w:hAnsi="Arial"/>
                <w:b/>
                <w:bCs/>
                <w:color w:val="800080"/>
                <w:sz w:val="22"/>
                <w:szCs w:val="22"/>
              </w:rPr>
            </w:r>
          </w:p>
          <w:p>
            <w:pPr>
              <w:pStyle w:val="Normal"/>
              <w:rPr>
                <w:rFonts w:ascii="Arial" w:hAnsi="Arial" w:cs="Arial"/>
                <w:b/>
                <w:b/>
                <w:bCs/>
                <w:color w:val="800080"/>
                <w:sz w:val="22"/>
                <w:szCs w:val="22"/>
              </w:rPr>
            </w:pPr>
            <w:r>
              <w:rPr>
                <w:rFonts w:cs="Arial" w:ascii="Arial" w:hAnsi="Arial"/>
                <w:b/>
                <w:bCs/>
                <w:color w:val="800080"/>
                <w:sz w:val="22"/>
                <w:szCs w:val="22"/>
              </w:rPr>
            </w:r>
          </w:p>
        </w:tc>
        <w:tc>
          <w:tcPr>
            <w:tcW w:w="1730" w:type="dxa"/>
            <w:tcBorders>
              <w:top w:val="single" w:sz="6" w:space="0" w:color="000000"/>
              <w:left w:val="single" w:sz="6" w:space="0" w:color="000000"/>
              <w:bottom w:val="single" w:sz="6" w:space="0" w:color="000000"/>
              <w:right w:val="single" w:sz="12" w:space="0" w:color="000000"/>
            </w:tcBorders>
            <w:shd w:fill="auto" w:val="clear"/>
          </w:tcPr>
          <w:p>
            <w:pPr>
              <w:pStyle w:val="Normal"/>
              <w:snapToGrid w:val="false"/>
              <w:rPr>
                <w:rFonts w:ascii="Arial" w:hAnsi="Arial" w:cs="Arial"/>
                <w:b/>
                <w:b/>
                <w:bCs/>
                <w:color w:val="800080"/>
                <w:sz w:val="22"/>
                <w:szCs w:val="22"/>
              </w:rPr>
            </w:pPr>
            <w:r>
              <w:rPr>
                <w:rFonts w:cs="Arial" w:ascii="Arial" w:hAnsi="Arial"/>
                <w:b/>
                <w:bCs/>
                <w:color w:val="800080"/>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t>A/I</w:t>
            </w:r>
          </w:p>
        </w:tc>
      </w:tr>
      <w:tr>
        <w:trPr>
          <w:trHeight w:val="567" w:hRule="atLeast"/>
        </w:trPr>
        <w:tc>
          <w:tcPr>
            <w:tcW w:w="12617" w:type="dxa"/>
            <w:tcBorders>
              <w:top w:val="single" w:sz="6" w:space="0" w:color="000000"/>
              <w:left w:val="single" w:sz="12" w:space="0" w:color="000000"/>
              <w:bottom w:val="single" w:sz="6" w:space="0" w:color="000000"/>
            </w:tcBorders>
            <w:shd w:fill="auto" w:val="clear"/>
            <w:vAlign w:val="center"/>
          </w:tcPr>
          <w:p>
            <w:pPr>
              <w:pStyle w:val="Normal"/>
              <w:snapToGrid w:val="false"/>
              <w:rPr>
                <w:rFonts w:ascii="Arial" w:hAnsi="Arial" w:cs="Arial"/>
                <w:b/>
                <w:b/>
                <w:bCs/>
                <w:color w:val="7030A0"/>
                <w:sz w:val="22"/>
                <w:szCs w:val="22"/>
              </w:rPr>
            </w:pPr>
            <w:r>
              <w:rPr>
                <w:rFonts w:cs="Arial" w:ascii="Arial" w:hAnsi="Arial"/>
                <w:b/>
                <w:bCs/>
                <w:color w:val="7030A0"/>
                <w:sz w:val="22"/>
                <w:szCs w:val="22"/>
              </w:rPr>
            </w:r>
          </w:p>
          <w:p>
            <w:pPr>
              <w:pStyle w:val="Normal"/>
              <w:rPr>
                <w:rFonts w:ascii="Arial" w:hAnsi="Arial" w:cs="Arial"/>
                <w:b/>
                <w:b/>
                <w:bCs/>
                <w:color w:val="7030A0"/>
                <w:sz w:val="22"/>
                <w:szCs w:val="22"/>
              </w:rPr>
            </w:pPr>
            <w:r>
              <w:rPr>
                <w:rFonts w:cs="Arial" w:ascii="Arial" w:hAnsi="Arial"/>
                <w:b/>
                <w:bCs/>
                <w:color w:val="7030A0"/>
                <w:sz w:val="22"/>
                <w:szCs w:val="22"/>
              </w:rPr>
              <w:t>Competencies:</w:t>
            </w:r>
          </w:p>
          <w:p>
            <w:pPr>
              <w:pStyle w:val="Normal"/>
              <w:rPr>
                <w:rFonts w:ascii="Arial" w:hAnsi="Arial" w:cs="Arial"/>
                <w:b/>
                <w:b/>
                <w:bCs/>
                <w:color w:val="7030A0"/>
                <w:sz w:val="22"/>
                <w:szCs w:val="22"/>
              </w:rPr>
            </w:pPr>
            <w:r>
              <w:rPr>
                <w:rFonts w:cs="Arial" w:ascii="Arial" w:hAnsi="Arial"/>
                <w:b/>
                <w:bCs/>
                <w:color w:val="7030A0"/>
                <w:sz w:val="22"/>
                <w:szCs w:val="22"/>
              </w:rPr>
            </w:r>
          </w:p>
          <w:p>
            <w:pPr>
              <w:pStyle w:val="Normal"/>
              <w:rPr>
                <w:rFonts w:ascii="Arial" w:hAnsi="Arial" w:cs="Arial"/>
                <w:b/>
                <w:b/>
                <w:bCs/>
                <w:color w:val="7030A0"/>
                <w:sz w:val="22"/>
                <w:szCs w:val="22"/>
              </w:rPr>
            </w:pPr>
            <w:r>
              <w:rPr>
                <w:rFonts w:cs="Arial" w:ascii="Arial" w:hAnsi="Arial"/>
                <w:b/>
                <w:bCs/>
                <w:color w:val="7030A0"/>
                <w:sz w:val="22"/>
                <w:szCs w:val="22"/>
              </w:rPr>
              <w:t>Candidates: Please ensure you address these competencies in your responses to the essential (and desirable if applicable) criteria above.</w:t>
            </w:r>
          </w:p>
          <w:p>
            <w:pPr>
              <w:pStyle w:val="Normal"/>
              <w:rPr>
                <w:rFonts w:ascii="Arial" w:hAnsi="Arial" w:cs="Arial"/>
                <w:bCs/>
                <w:sz w:val="22"/>
                <w:szCs w:val="22"/>
              </w:rPr>
            </w:pPr>
            <w:r>
              <w:rPr>
                <w:rFonts w:cs="Arial" w:ascii="Arial" w:hAnsi="Arial"/>
                <w:bCs/>
                <w:sz w:val="22"/>
                <w:szCs w:val="22"/>
              </w:rPr>
            </w:r>
          </w:p>
          <w:p>
            <w:pPr>
              <w:pStyle w:val="Normal"/>
              <w:rPr/>
            </w:pPr>
            <w:r>
              <w:rPr>
                <w:rFonts w:cs="Arial" w:ascii="Arial" w:hAnsi="Arial"/>
                <w:b/>
                <w:bCs/>
                <w:sz w:val="22"/>
                <w:szCs w:val="22"/>
              </w:rPr>
              <w:t>1.</w:t>
            </w:r>
            <w:r>
              <w:rPr>
                <w:rFonts w:cs="Arial" w:ascii="Arial" w:hAnsi="Arial"/>
                <w:bCs/>
                <w:sz w:val="22"/>
                <w:szCs w:val="22"/>
              </w:rPr>
              <w:t xml:space="preserve"> Customer focus                                                                                                         </w:t>
            </w:r>
          </w:p>
          <w:p>
            <w:pPr>
              <w:pStyle w:val="Normal"/>
              <w:rPr/>
            </w:pPr>
            <w:r>
              <w:rPr>
                <w:rFonts w:cs="Arial" w:ascii="Arial" w:hAnsi="Arial"/>
                <w:b/>
                <w:bCs/>
                <w:sz w:val="22"/>
                <w:szCs w:val="22"/>
              </w:rPr>
              <w:t>2.</w:t>
            </w:r>
            <w:r>
              <w:rPr>
                <w:rFonts w:cs="Arial" w:ascii="Arial" w:hAnsi="Arial"/>
                <w:bCs/>
                <w:sz w:val="22"/>
                <w:szCs w:val="22"/>
              </w:rPr>
              <w:t xml:space="preserve"> Deliver service performance                                                                                                             </w:t>
            </w:r>
          </w:p>
          <w:p>
            <w:pPr>
              <w:pStyle w:val="Normal"/>
              <w:rPr/>
            </w:pPr>
            <w:r>
              <w:rPr>
                <w:rFonts w:cs="Arial" w:ascii="Arial" w:hAnsi="Arial"/>
                <w:b/>
                <w:bCs/>
                <w:sz w:val="22"/>
                <w:szCs w:val="22"/>
              </w:rPr>
              <w:t>3.</w:t>
            </w:r>
            <w:r>
              <w:rPr>
                <w:rFonts w:cs="Arial" w:ascii="Arial" w:hAnsi="Arial"/>
                <w:bCs/>
                <w:sz w:val="22"/>
                <w:szCs w:val="22"/>
              </w:rPr>
              <w:t xml:space="preserve"> Focus on continuous improvement  </w:t>
            </w:r>
          </w:p>
          <w:p>
            <w:pPr>
              <w:pStyle w:val="Normal"/>
              <w:rPr/>
            </w:pPr>
            <w:r>
              <w:rPr>
                <w:rFonts w:cs="Arial" w:ascii="Arial" w:hAnsi="Arial"/>
                <w:b/>
                <w:bCs/>
                <w:sz w:val="22"/>
                <w:szCs w:val="22"/>
              </w:rPr>
              <w:t>4.</w:t>
            </w:r>
            <w:r>
              <w:rPr>
                <w:rFonts w:cs="Arial" w:ascii="Arial" w:hAnsi="Arial"/>
                <w:bCs/>
                <w:sz w:val="22"/>
                <w:szCs w:val="22"/>
              </w:rPr>
              <w:t xml:space="preserve"> Political awareness and context</w:t>
            </w:r>
          </w:p>
          <w:p>
            <w:pPr>
              <w:pStyle w:val="Normal"/>
              <w:rPr>
                <w:rFonts w:ascii="Arial" w:hAnsi="Arial" w:eastAsia="Arial" w:cs="Arial"/>
                <w:b/>
                <w:b/>
                <w:bCs/>
                <w:sz w:val="22"/>
                <w:szCs w:val="22"/>
              </w:rPr>
            </w:pPr>
            <w:r>
              <w:rPr>
                <w:rFonts w:eastAsia="Arial" w:cs="Arial" w:ascii="Arial" w:hAnsi="Arial"/>
                <w:b/>
                <w:bCs/>
                <w:sz w:val="22"/>
                <w:szCs w:val="22"/>
              </w:rPr>
              <w:t xml:space="preserve">                                                                                                        </w:t>
            </w:r>
          </w:p>
        </w:tc>
        <w:tc>
          <w:tcPr>
            <w:tcW w:w="1730" w:type="dxa"/>
            <w:tcBorders>
              <w:top w:val="single" w:sz="6" w:space="0" w:color="000000"/>
              <w:left w:val="single" w:sz="6" w:space="0" w:color="000000"/>
              <w:bottom w:val="single" w:sz="6" w:space="0" w:color="000000"/>
              <w:right w:val="single" w:sz="12" w:space="0" w:color="000000"/>
            </w:tcBorders>
            <w:shd w:fill="auto" w:val="clear"/>
          </w:tcPr>
          <w:p>
            <w:pPr>
              <w:pStyle w:val="Normal"/>
              <w:snapToGrid w:val="false"/>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t>A/I</w:t>
            </w:r>
          </w:p>
        </w:tc>
      </w:tr>
      <w:tr>
        <w:trPr>
          <w:trHeight w:val="614" w:hRule="atLeast"/>
        </w:trPr>
        <w:tc>
          <w:tcPr>
            <w:tcW w:w="12617" w:type="dxa"/>
            <w:tcBorders>
              <w:top w:val="single" w:sz="6" w:space="0" w:color="000000"/>
              <w:left w:val="single" w:sz="12" w:space="0" w:color="000000"/>
              <w:bottom w:val="single" w:sz="6" w:space="0" w:color="000000"/>
            </w:tcBorders>
            <w:shd w:fill="auto" w:val="clear"/>
            <w:vAlign w:val="center"/>
          </w:tcPr>
          <w:p>
            <w:pPr>
              <w:pStyle w:val="Normal"/>
              <w:rPr>
                <w:rFonts w:ascii="Arial" w:hAnsi="Arial" w:cs="Arial"/>
                <w:b/>
                <w:b/>
                <w:bCs/>
                <w:color w:val="7030A0"/>
                <w:sz w:val="22"/>
                <w:szCs w:val="22"/>
              </w:rPr>
            </w:pPr>
            <w:r>
              <w:rPr>
                <w:rFonts w:cs="Arial" w:ascii="Arial" w:hAnsi="Arial"/>
                <w:b/>
                <w:bCs/>
                <w:color w:val="7030A0"/>
                <w:sz w:val="22"/>
                <w:szCs w:val="22"/>
              </w:rPr>
              <w:t>Qualifications &amp; Professional registration criteria</w:t>
            </w:r>
          </w:p>
          <w:p>
            <w:pPr>
              <w:pStyle w:val="Normal"/>
              <w:rPr>
                <w:rFonts w:ascii="Arial" w:hAnsi="Arial" w:cs="Arial"/>
                <w:b/>
                <w:b/>
                <w:bCs/>
                <w:color w:val="7030A0"/>
                <w:sz w:val="22"/>
                <w:szCs w:val="22"/>
              </w:rPr>
            </w:pPr>
            <w:r>
              <w:rPr>
                <w:rFonts w:cs="Arial" w:ascii="Arial" w:hAnsi="Arial"/>
                <w:b/>
                <w:bCs/>
                <w:color w:val="7030A0"/>
                <w:sz w:val="22"/>
                <w:szCs w:val="22"/>
              </w:rPr>
            </w:r>
          </w:p>
          <w:p>
            <w:pPr>
              <w:pStyle w:val="Normal"/>
              <w:rPr>
                <w:rFonts w:ascii="Arial" w:hAnsi="Arial" w:cs="Arial"/>
                <w:b/>
                <w:b/>
                <w:bCs/>
                <w:color w:val="7030A0"/>
                <w:sz w:val="22"/>
                <w:szCs w:val="22"/>
              </w:rPr>
            </w:pPr>
            <w:r>
              <w:rPr>
                <w:rFonts w:cs="Arial" w:ascii="Arial" w:hAnsi="Arial"/>
                <w:b/>
                <w:bCs/>
                <w:color w:val="7030A0"/>
                <w:sz w:val="22"/>
                <w:szCs w:val="22"/>
              </w:rPr>
              <w:t>Candidates: Please ensure you address these qualifications in your responses to the essential (and desirable if applicable) criteria, you will be expected to meet these requirements of the role and they will be explored with you at interview.</w:t>
            </w:r>
          </w:p>
          <w:p>
            <w:pPr>
              <w:pStyle w:val="Normal"/>
              <w:rPr>
                <w:rFonts w:ascii="Arial" w:hAnsi="Arial" w:cs="Arial"/>
                <w:b/>
                <w:b/>
                <w:bCs/>
                <w:color w:val="7030A0"/>
                <w:sz w:val="22"/>
                <w:szCs w:val="22"/>
              </w:rPr>
            </w:pPr>
            <w:r>
              <w:rPr>
                <w:rFonts w:cs="Arial" w:ascii="Arial" w:hAnsi="Arial"/>
                <w:b/>
                <w:bCs/>
                <w:color w:val="7030A0"/>
                <w:sz w:val="22"/>
                <w:szCs w:val="22"/>
              </w:rPr>
            </w:r>
          </w:p>
          <w:p>
            <w:pPr>
              <w:pStyle w:val="Normal"/>
              <w:numPr>
                <w:ilvl w:val="0"/>
                <w:numId w:val="8"/>
              </w:numPr>
              <w:rPr>
                <w:rFonts w:ascii="Arial" w:hAnsi="Arial" w:cs="Arial"/>
                <w:b/>
                <w:b/>
                <w:bCs/>
                <w:sz w:val="22"/>
                <w:szCs w:val="22"/>
              </w:rPr>
            </w:pPr>
            <w:r>
              <w:rPr>
                <w:rFonts w:cs="Arial" w:ascii="Arial" w:hAnsi="Arial"/>
                <w:b/>
                <w:bCs/>
                <w:sz w:val="22"/>
                <w:szCs w:val="22"/>
              </w:rPr>
              <w:t xml:space="preserve">Social Work Qualification </w:t>
            </w:r>
          </w:p>
          <w:p>
            <w:pPr>
              <w:pStyle w:val="Normal"/>
              <w:numPr>
                <w:ilvl w:val="0"/>
                <w:numId w:val="8"/>
              </w:numPr>
              <w:rPr>
                <w:rFonts w:ascii="Arial" w:hAnsi="Arial" w:cs="Arial"/>
                <w:b/>
                <w:b/>
                <w:bCs/>
                <w:sz w:val="22"/>
                <w:szCs w:val="22"/>
              </w:rPr>
            </w:pPr>
            <w:r>
              <w:rPr>
                <w:rFonts w:cs="Arial" w:ascii="Arial" w:hAnsi="Arial"/>
                <w:b/>
                <w:bCs/>
                <w:sz w:val="22"/>
                <w:szCs w:val="22"/>
              </w:rPr>
              <w:t xml:space="preserve">Registration with Social Work England </w:t>
            </w:r>
          </w:p>
          <w:p>
            <w:pPr>
              <w:pStyle w:val="Normal"/>
              <w:ind w:left="720" w:right="0" w:hanging="0"/>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color w:val="800080"/>
                <w:sz w:val="22"/>
                <w:szCs w:val="22"/>
              </w:rPr>
            </w:pPr>
            <w:r>
              <w:rPr>
                <w:rFonts w:cs="Arial" w:ascii="Arial" w:hAnsi="Arial"/>
                <w:b/>
                <w:bCs/>
                <w:color w:val="800080"/>
                <w:sz w:val="22"/>
                <w:szCs w:val="22"/>
              </w:rPr>
            </w:r>
          </w:p>
        </w:tc>
        <w:tc>
          <w:tcPr>
            <w:tcW w:w="1730" w:type="dxa"/>
            <w:tcBorders>
              <w:top w:val="single" w:sz="6" w:space="0" w:color="000000"/>
              <w:left w:val="single" w:sz="6" w:space="0" w:color="000000"/>
              <w:bottom w:val="single" w:sz="6" w:space="0" w:color="000000"/>
              <w:right w:val="single" w:sz="12" w:space="0" w:color="000000"/>
            </w:tcBorders>
            <w:shd w:fill="auto" w:val="clear"/>
          </w:tcPr>
          <w:p>
            <w:pPr>
              <w:pStyle w:val="Normal"/>
              <w:snapToGrid w:val="false"/>
              <w:rPr>
                <w:rFonts w:ascii="Arial" w:hAnsi="Arial" w:cs="Arial"/>
                <w:b/>
                <w:b/>
                <w:bCs/>
                <w:color w:val="800080"/>
                <w:sz w:val="22"/>
                <w:szCs w:val="22"/>
              </w:rPr>
            </w:pPr>
            <w:r>
              <w:rPr>
                <w:rFonts w:cs="Arial" w:ascii="Arial" w:hAnsi="Arial"/>
                <w:b/>
                <w:bCs/>
                <w:color w:val="800080"/>
                <w:sz w:val="22"/>
                <w:szCs w:val="22"/>
              </w:rPr>
            </w:r>
          </w:p>
          <w:p>
            <w:pPr>
              <w:pStyle w:val="Normal"/>
              <w:rPr>
                <w:rFonts w:ascii="Arial" w:hAnsi="Arial" w:cs="Arial"/>
                <w:b/>
                <w:b/>
                <w:bCs/>
                <w:sz w:val="22"/>
                <w:szCs w:val="22"/>
              </w:rPr>
            </w:pPr>
            <w:r>
              <w:rPr>
                <w:rFonts w:cs="Arial" w:ascii="Arial" w:hAnsi="Arial"/>
                <w:b/>
                <w:bCs/>
                <w:sz w:val="22"/>
                <w:szCs w:val="22"/>
              </w:rPr>
              <w:t>I</w:t>
            </w:r>
          </w:p>
          <w:p>
            <w:pPr>
              <w:pStyle w:val="Normal"/>
              <w:rPr>
                <w:rFonts w:ascii="Arial" w:hAnsi="Arial" w:cs="Arial"/>
                <w:b/>
                <w:b/>
                <w:bCs/>
                <w:sz w:val="22"/>
                <w:szCs w:val="22"/>
              </w:rPr>
            </w:pPr>
            <w:r>
              <w:rPr>
                <w:rFonts w:cs="Arial" w:ascii="Arial" w:hAnsi="Arial"/>
                <w:b/>
                <w:bCs/>
                <w:sz w:val="22"/>
                <w:szCs w:val="22"/>
              </w:rPr>
            </w:r>
          </w:p>
        </w:tc>
      </w:tr>
      <w:tr>
        <w:trPr>
          <w:trHeight w:val="614" w:hRule="atLeast"/>
        </w:trPr>
        <w:tc>
          <w:tcPr>
            <w:tcW w:w="12617" w:type="dxa"/>
            <w:tcBorders>
              <w:top w:val="single" w:sz="6" w:space="0" w:color="000000"/>
              <w:left w:val="single" w:sz="12" w:space="0" w:color="000000"/>
              <w:bottom w:val="single" w:sz="6" w:space="0" w:color="000000"/>
            </w:tcBorders>
            <w:shd w:fill="auto" w:val="clear"/>
            <w:vAlign w:val="center"/>
          </w:tcPr>
          <w:p>
            <w:pPr>
              <w:pStyle w:val="Normal"/>
              <w:rPr>
                <w:rFonts w:ascii="Arial" w:hAnsi="Arial" w:cs="Arial"/>
                <w:b/>
                <w:b/>
                <w:bCs/>
                <w:color w:val="7030A0"/>
                <w:sz w:val="22"/>
                <w:szCs w:val="22"/>
              </w:rPr>
            </w:pPr>
            <w:r>
              <w:rPr>
                <w:rFonts w:cs="Arial" w:ascii="Arial" w:hAnsi="Arial"/>
                <w:b/>
                <w:bCs/>
                <w:color w:val="7030A0"/>
                <w:sz w:val="22"/>
                <w:szCs w:val="22"/>
              </w:rPr>
              <w:t>Special requirements</w:t>
            </w:r>
          </w:p>
          <w:p>
            <w:pPr>
              <w:pStyle w:val="Normal"/>
              <w:rPr>
                <w:rFonts w:ascii="Arial" w:hAnsi="Arial" w:cs="Arial"/>
                <w:b/>
                <w:b/>
                <w:bCs/>
                <w:color w:val="7030A0"/>
                <w:sz w:val="22"/>
                <w:szCs w:val="22"/>
              </w:rPr>
            </w:pPr>
            <w:r>
              <w:rPr>
                <w:rFonts w:cs="Arial" w:ascii="Arial" w:hAnsi="Arial"/>
                <w:b/>
                <w:bCs/>
                <w:color w:val="7030A0"/>
                <w:sz w:val="22"/>
                <w:szCs w:val="22"/>
              </w:rPr>
            </w:r>
          </w:p>
          <w:p>
            <w:pPr>
              <w:pStyle w:val="Normal"/>
              <w:rPr>
                <w:rFonts w:ascii="Arial" w:hAnsi="Arial" w:cs="Arial"/>
                <w:b/>
                <w:b/>
                <w:bCs/>
                <w:color w:val="7030A0"/>
                <w:sz w:val="22"/>
                <w:szCs w:val="22"/>
              </w:rPr>
            </w:pPr>
            <w:r>
              <w:rPr>
                <w:rFonts w:cs="Arial" w:ascii="Arial" w:hAnsi="Arial"/>
                <w:b/>
                <w:bCs/>
                <w:color w:val="7030A0"/>
                <w:sz w:val="22"/>
                <w:szCs w:val="22"/>
              </w:rPr>
              <w:t>Candidates: Please note you will be expected to meet these requirements of the role and they will be explored with you at interview.</w:t>
            </w:r>
          </w:p>
          <w:p>
            <w:pPr>
              <w:pStyle w:val="Normal"/>
              <w:rPr>
                <w:rFonts w:ascii="Arial" w:hAnsi="Arial" w:cs="Arial"/>
                <w:b/>
                <w:b/>
                <w:bCs/>
                <w:color w:val="7030A0"/>
                <w:sz w:val="22"/>
                <w:szCs w:val="22"/>
              </w:rPr>
            </w:pPr>
            <w:r>
              <w:rPr>
                <w:rFonts w:cs="Arial" w:ascii="Arial" w:hAnsi="Arial"/>
                <w:b/>
                <w:bCs/>
                <w:color w:val="7030A0"/>
                <w:sz w:val="22"/>
                <w:szCs w:val="22"/>
              </w:rPr>
            </w:r>
          </w:p>
          <w:p>
            <w:pPr>
              <w:pStyle w:val="Normal"/>
              <w:rPr>
                <w:rFonts w:ascii="Arial" w:hAnsi="Arial" w:cs="Arial"/>
                <w:b/>
                <w:b/>
                <w:bCs/>
                <w:sz w:val="22"/>
                <w:szCs w:val="22"/>
              </w:rPr>
            </w:pPr>
            <w:r>
              <w:rPr>
                <w:rFonts w:cs="Arial" w:ascii="Arial" w:hAnsi="Arial"/>
                <w:b/>
                <w:bCs/>
                <w:sz w:val="22"/>
                <w:szCs w:val="22"/>
              </w:rPr>
              <w:t xml:space="preserve">1. Out of hours management cover on a rota basis with other Heads of Service weekends and overnight </w:t>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color w:val="7030A0"/>
                <w:sz w:val="22"/>
                <w:szCs w:val="22"/>
              </w:rPr>
            </w:pPr>
            <w:r>
              <w:rPr>
                <w:rFonts w:cs="Arial" w:ascii="Arial" w:hAnsi="Arial"/>
                <w:b/>
                <w:bCs/>
                <w:color w:val="7030A0"/>
                <w:sz w:val="22"/>
                <w:szCs w:val="22"/>
              </w:rPr>
            </w:r>
          </w:p>
          <w:p>
            <w:pPr>
              <w:pStyle w:val="Normal"/>
              <w:ind w:left="720" w:right="0" w:hanging="0"/>
              <w:rPr>
                <w:rFonts w:ascii="Arial" w:hAnsi="Arial" w:cs="Arial"/>
                <w:b/>
                <w:b/>
                <w:bCs/>
                <w:color w:val="800080"/>
                <w:sz w:val="22"/>
                <w:szCs w:val="22"/>
              </w:rPr>
            </w:pPr>
            <w:r>
              <w:rPr>
                <w:rFonts w:cs="Arial" w:ascii="Arial" w:hAnsi="Arial"/>
                <w:b/>
                <w:bCs/>
                <w:color w:val="800080"/>
                <w:sz w:val="22"/>
                <w:szCs w:val="22"/>
              </w:rPr>
            </w:r>
          </w:p>
        </w:tc>
        <w:tc>
          <w:tcPr>
            <w:tcW w:w="1730" w:type="dxa"/>
            <w:tcBorders>
              <w:top w:val="single" w:sz="6" w:space="0" w:color="000000"/>
              <w:left w:val="single" w:sz="6" w:space="0" w:color="000000"/>
              <w:bottom w:val="single" w:sz="6" w:space="0" w:color="000000"/>
              <w:right w:val="single" w:sz="12" w:space="0" w:color="000000"/>
            </w:tcBorders>
            <w:shd w:fill="auto" w:val="clear"/>
          </w:tcPr>
          <w:p>
            <w:pPr>
              <w:pStyle w:val="Normal"/>
              <w:snapToGrid w:val="false"/>
              <w:rPr>
                <w:rFonts w:ascii="Arial" w:hAnsi="Arial" w:cs="Arial"/>
                <w:b/>
                <w:b/>
                <w:bCs/>
                <w:color w:val="800080"/>
                <w:sz w:val="22"/>
                <w:szCs w:val="22"/>
              </w:rPr>
            </w:pPr>
            <w:r>
              <w:rPr>
                <w:rFonts w:cs="Arial" w:ascii="Arial" w:hAnsi="Arial"/>
                <w:b/>
                <w:bCs/>
                <w:color w:val="800080"/>
                <w:sz w:val="22"/>
                <w:szCs w:val="22"/>
              </w:rPr>
            </w:r>
          </w:p>
          <w:p>
            <w:pPr>
              <w:pStyle w:val="Normal"/>
              <w:rPr>
                <w:rFonts w:ascii="Arial" w:hAnsi="Arial" w:cs="Arial"/>
                <w:b/>
                <w:b/>
                <w:bCs/>
                <w:sz w:val="22"/>
                <w:szCs w:val="22"/>
              </w:rPr>
            </w:pPr>
            <w:r>
              <w:rPr>
                <w:rFonts w:cs="Arial" w:ascii="Arial" w:hAnsi="Arial"/>
                <w:b/>
                <w:bCs/>
                <w:sz w:val="22"/>
                <w:szCs w:val="22"/>
              </w:rPr>
              <w:t>I</w:t>
            </w:r>
          </w:p>
          <w:p>
            <w:pPr>
              <w:pStyle w:val="Normal"/>
              <w:rPr>
                <w:rFonts w:ascii="Arial" w:hAnsi="Arial" w:cs="Arial"/>
                <w:b/>
                <w:b/>
                <w:bCs/>
                <w:sz w:val="22"/>
                <w:szCs w:val="22"/>
              </w:rPr>
            </w:pPr>
            <w:r>
              <w:rPr>
                <w:rFonts w:cs="Arial" w:ascii="Arial" w:hAnsi="Arial"/>
                <w:b/>
                <w:bCs/>
                <w:sz w:val="22"/>
                <w:szCs w:val="22"/>
              </w:rPr>
            </w:r>
          </w:p>
        </w:tc>
      </w:tr>
    </w:tbl>
    <w:p>
      <w:pPr>
        <w:pStyle w:val="Normal"/>
        <w:rPr/>
      </w:pPr>
      <w:r>
        <w:rPr/>
      </w:r>
    </w:p>
    <w:sectPr>
      <w:footerReference w:type="default" r:id="rId4"/>
      <w:type w:val="evenPage"/>
      <w:pgSz w:orient="landscape" w:w="16838" w:h="11906"/>
      <w:pgMar w:left="1418" w:right="1418" w:header="0" w:top="567" w:footer="431" w:bottom="1351"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Arial Unicode MS">
    <w:charset w:val="00"/>
    <w:family w:val="swiss"/>
    <w:pitch w:val="variable"/>
  </w:font>
  <w:font w:name="Tahoma">
    <w:charset w:val="00"/>
    <w:family w:val="roman"/>
    <w:pitch w:val="variable"/>
  </w:font>
  <w:font w:name="Arial Black">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8640"/>
        <w:tab w:val="center" w:pos="4320" w:leader="none"/>
        <w:tab w:val="right" w:pos="8222" w:leader="none"/>
      </w:tabs>
      <w:jc w:val="center"/>
      <w:rPr>
        <w:rFonts w:ascii="Arial" w:hAnsi="Arial" w:cs="Arial"/>
        <w:color w:val="C0C0C0"/>
        <w:sz w:val="20"/>
        <w:lang w:val="en-US"/>
      </w:rPr>
    </w:pPr>
    <w:r>
      <w:rPr>
        <w:rFonts w:cs="Arial" w:ascii="Arial" w:hAnsi="Arial"/>
        <w:color w:val="C0C0C0"/>
        <w:sz w:val="20"/>
        <w:lang w:val="en-US"/>
      </w:rPr>
      <w:t xml:space="preserve">Page </w:t>
    </w:r>
    <w:r>
      <w:rPr>
        <w:rFonts w:cs="Arial" w:ascii="Arial" w:hAnsi="Arial"/>
        <w:color w:val="C0C0C0"/>
        <w:sz w:val="20"/>
        <w:lang w:val="en-US"/>
      </w:rPr>
      <w:fldChar w:fldCharType="begin"/>
    </w:r>
    <w:r>
      <w:rPr>
        <w:sz w:val="20"/>
        <w:rFonts w:cs="Arial" w:ascii="Arial" w:hAnsi="Arial"/>
      </w:rPr>
      <w:instrText> PAGE </w:instrText>
    </w:r>
    <w:r>
      <w:rPr>
        <w:sz w:val="20"/>
        <w:rFonts w:cs="Arial" w:ascii="Arial" w:hAnsi="Arial"/>
      </w:rPr>
      <w:fldChar w:fldCharType="separate"/>
    </w:r>
    <w:r>
      <w:rPr>
        <w:sz w:val="20"/>
        <w:rFonts w:cs="Arial" w:ascii="Arial" w:hAnsi="Arial"/>
      </w:rPr>
      <w:t>5</w:t>
    </w:r>
    <w:r>
      <w:rPr>
        <w:sz w:val="20"/>
        <w:rFonts w:cs="Arial" w:ascii="Arial" w:hAnsi="Arial"/>
      </w:rPr>
      <w:fldChar w:fldCharType="end"/>
    </w:r>
    <w:r>
      <w:rPr>
        <w:rFonts w:cs="Arial" w:ascii="Arial" w:hAnsi="Arial"/>
        <w:color w:val="C0C0C0"/>
        <w:sz w:val="20"/>
        <w:lang w:val="en-US"/>
      </w:rPr>
      <w:t xml:space="preserve"> of </w:t>
    </w:r>
    <w:r>
      <w:rPr>
        <w:rFonts w:cs="Arial" w:ascii="Arial" w:hAnsi="Arial"/>
        <w:color w:val="C0C0C0"/>
        <w:sz w:val="20"/>
        <w:lang w:val="en-US"/>
      </w:rPr>
      <w:fldChar w:fldCharType="begin"/>
    </w:r>
    <w:r>
      <w:rPr>
        <w:sz w:val="20"/>
        <w:rFonts w:cs="Arial" w:ascii="Arial" w:hAnsi="Arial"/>
      </w:rPr>
      <w:instrText> NUMPAGES \* ARABIC </w:instrText>
    </w:r>
    <w:r>
      <w:rPr>
        <w:sz w:val="20"/>
        <w:rFonts w:cs="Arial" w:ascii="Arial" w:hAnsi="Arial"/>
      </w:rPr>
      <w:fldChar w:fldCharType="separate"/>
    </w:r>
    <w:r>
      <w:rPr>
        <w:sz w:val="20"/>
        <w:rFonts w:cs="Arial" w:ascii="Arial" w:hAnsi="Arial"/>
      </w:rPr>
      <w:t>8</w:t>
    </w:r>
    <w:r>
      <w:rPr>
        <w:sz w:val="20"/>
        <w:rFonts w:cs="Arial" w:ascii="Arial" w:hAnsi="Arial"/>
      </w:rPr>
      <w:fldChar w:fldCharType="end"/>
    </w:r>
  </w:p>
  <w:p>
    <w:pPr>
      <w:pStyle w:val="Footer"/>
      <w:jc w:val="right"/>
      <w:rPr>
        <w:rFonts w:ascii="Arial" w:hAnsi="Arial" w:cs="Arial"/>
        <w:color w:val="C0C0C0"/>
        <w:sz w:val="20"/>
        <w:lang w:val="en-US"/>
      </w:rPr>
    </w:pPr>
    <w:r>
      <w:rPr>
        <w:rFonts w:cs="Arial" w:ascii="Arial" w:hAnsi="Arial"/>
        <w:color w:val="C0C0C0"/>
        <w:sz w:val="20"/>
        <w:lang w:val="en-US"/>
      </w:rPr>
      <w:t xml:space="preserve">Job Role Profile and Person Specification </w:t>
    </w:r>
  </w:p>
  <w:p>
    <w:pPr>
      <w:pStyle w:val="Footer"/>
      <w:jc w:val="right"/>
      <w:rPr/>
    </w:pPr>
    <w:r>
      <w:rPr>
        <w:rFonts w:eastAsia="Arial" w:cs="Arial" w:ascii="Arial" w:hAnsi="Arial"/>
        <w:color w:val="C0C0C0"/>
        <w:sz w:val="20"/>
        <w:lang w:val="en-US"/>
      </w:rPr>
      <w:t xml:space="preserve"> </w:t>
    </w:r>
    <w:r>
      <w:rPr>
        <w:rFonts w:cs="Arial" w:ascii="Arial" w:hAnsi="Arial"/>
        <w:color w:val="C0C0C0"/>
        <w:sz w:val="20"/>
        <w:lang w:val="en-US"/>
      </w:rPr>
      <w:t>Published 18/10/2010</w:t>
    </w:r>
  </w:p>
  <w:p>
    <w:pPr>
      <w:pStyle w:val="Footer"/>
      <w:jc w:val="right"/>
      <w:rPr>
        <w:rFonts w:ascii="Arial" w:hAnsi="Arial" w:cs="Arial"/>
        <w:color w:val="C0C0C0"/>
        <w:sz w:val="20"/>
        <w:lang w:val="en-US"/>
      </w:rPr>
    </w:pPr>
    <w:r>
      <w:rPr>
        <w:rFonts w:cs="Arial" w:ascii="Arial" w:hAnsi="Arial"/>
        <w:color w:val="C0C0C0"/>
        <w:sz w:val="20"/>
        <w:lang w:val="en-US"/>
      </w:rPr>
      <w:t>Last revised 24/9/20</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8640"/>
        <w:tab w:val="center" w:pos="4320" w:leader="none"/>
        <w:tab w:val="right" w:pos="8222" w:leader="none"/>
      </w:tabs>
      <w:jc w:val="center"/>
      <w:rPr>
        <w:rFonts w:ascii="Arial" w:hAnsi="Arial" w:cs="Arial"/>
        <w:color w:val="C0C0C0"/>
        <w:sz w:val="20"/>
        <w:lang w:val="en-US"/>
      </w:rPr>
    </w:pPr>
    <w:r>
      <w:rPr>
        <w:rFonts w:cs="Arial" w:ascii="Arial" w:hAnsi="Arial"/>
        <w:color w:val="C0C0C0"/>
        <w:sz w:val="20"/>
        <w:lang w:val="en-US"/>
      </w:rPr>
      <w:t xml:space="preserve">Page </w:t>
    </w:r>
    <w:r>
      <w:rPr>
        <w:rFonts w:cs="Arial" w:ascii="Arial" w:hAnsi="Arial"/>
        <w:color w:val="C0C0C0"/>
        <w:sz w:val="20"/>
        <w:lang w:val="en-US"/>
      </w:rPr>
      <w:fldChar w:fldCharType="begin"/>
    </w:r>
    <w:r>
      <w:rPr>
        <w:sz w:val="20"/>
        <w:rFonts w:cs="Arial" w:ascii="Arial" w:hAnsi="Arial"/>
      </w:rPr>
      <w:instrText> PAGE </w:instrText>
    </w:r>
    <w:r>
      <w:rPr>
        <w:sz w:val="20"/>
        <w:rFonts w:cs="Arial" w:ascii="Arial" w:hAnsi="Arial"/>
      </w:rPr>
      <w:fldChar w:fldCharType="separate"/>
    </w:r>
    <w:r>
      <w:rPr>
        <w:sz w:val="20"/>
        <w:rFonts w:cs="Arial" w:ascii="Arial" w:hAnsi="Arial"/>
      </w:rPr>
      <w:t>6</w:t>
    </w:r>
    <w:r>
      <w:rPr>
        <w:sz w:val="20"/>
        <w:rFonts w:cs="Arial" w:ascii="Arial" w:hAnsi="Arial"/>
      </w:rPr>
      <w:fldChar w:fldCharType="end"/>
    </w:r>
    <w:r>
      <w:rPr>
        <w:rFonts w:cs="Arial" w:ascii="Arial" w:hAnsi="Arial"/>
        <w:color w:val="C0C0C0"/>
        <w:sz w:val="20"/>
        <w:lang w:val="en-US"/>
      </w:rPr>
      <w:t xml:space="preserve"> of </w:t>
    </w:r>
    <w:r>
      <w:rPr>
        <w:rFonts w:cs="Arial" w:ascii="Arial" w:hAnsi="Arial"/>
        <w:color w:val="C0C0C0"/>
        <w:sz w:val="20"/>
        <w:lang w:val="en-US"/>
      </w:rPr>
      <w:fldChar w:fldCharType="begin"/>
    </w:r>
    <w:r>
      <w:rPr>
        <w:sz w:val="20"/>
        <w:rFonts w:cs="Arial" w:ascii="Arial" w:hAnsi="Arial"/>
      </w:rPr>
      <w:instrText> NUMPAGES \* ARABIC </w:instrText>
    </w:r>
    <w:r>
      <w:rPr>
        <w:sz w:val="20"/>
        <w:rFonts w:cs="Arial" w:ascii="Arial" w:hAnsi="Arial"/>
      </w:rPr>
      <w:fldChar w:fldCharType="separate"/>
    </w:r>
    <w:r>
      <w:rPr>
        <w:sz w:val="20"/>
        <w:rFonts w:cs="Arial" w:ascii="Arial" w:hAnsi="Arial"/>
      </w:rPr>
      <w:t>8</w:t>
    </w:r>
    <w:r>
      <w:rPr>
        <w:sz w:val="20"/>
        <w:rFonts w:cs="Arial" w:ascii="Arial" w:hAnsi="Arial"/>
      </w:rPr>
      <w:fldChar w:fldCharType="end"/>
    </w:r>
  </w:p>
  <w:p>
    <w:pPr>
      <w:pStyle w:val="Footer"/>
      <w:jc w:val="right"/>
      <w:rPr>
        <w:rFonts w:ascii="Arial" w:hAnsi="Arial" w:cs="Arial"/>
        <w:color w:val="C0C0C0"/>
        <w:sz w:val="20"/>
        <w:lang w:val="en-US"/>
      </w:rPr>
    </w:pPr>
    <w:r>
      <w:rPr>
        <w:rFonts w:cs="Arial" w:ascii="Arial" w:hAnsi="Arial"/>
        <w:color w:val="C0C0C0"/>
        <w:sz w:val="20"/>
        <w:lang w:val="en-US"/>
      </w:rPr>
      <w:t xml:space="preserve">Job Role Profile and Person Specification </w:t>
    </w:r>
  </w:p>
  <w:p>
    <w:pPr>
      <w:pStyle w:val="Footer"/>
      <w:jc w:val="right"/>
      <w:rPr/>
    </w:pPr>
    <w:r>
      <w:rPr>
        <w:rFonts w:eastAsia="Arial" w:cs="Arial" w:ascii="Arial" w:hAnsi="Arial"/>
        <w:color w:val="C0C0C0"/>
        <w:sz w:val="20"/>
        <w:lang w:val="en-US"/>
      </w:rPr>
      <w:t xml:space="preserve"> </w:t>
    </w:r>
    <w:r>
      <w:rPr>
        <w:rFonts w:cs="Arial" w:ascii="Arial" w:hAnsi="Arial"/>
        <w:color w:val="C0C0C0"/>
        <w:sz w:val="20"/>
        <w:lang w:val="en-US"/>
      </w:rPr>
      <w:t>Published 18/10/2010</w:t>
    </w:r>
  </w:p>
  <w:p>
    <w:pPr>
      <w:pStyle w:val="Footer"/>
      <w:jc w:val="right"/>
      <w:rPr>
        <w:rFonts w:ascii="Arial" w:hAnsi="Arial" w:cs="Arial"/>
        <w:color w:val="C0C0C0"/>
        <w:sz w:val="20"/>
        <w:lang w:val="en-US"/>
      </w:rPr>
    </w:pPr>
    <w:r>
      <w:rPr>
        <w:rFonts w:cs="Arial" w:ascii="Arial" w:hAnsi="Arial"/>
        <w:color w:val="C0C0C0"/>
        <w:sz w:val="20"/>
        <w:lang w:val="en-US"/>
      </w:rPr>
      <w:t>Last revised 24/9/20</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6"/>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1080"/>
        </w:tabs>
        <w:ind w:left="1080" w:hanging="72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720"/>
        </w:tabs>
        <w:ind w:left="720" w:hanging="360"/>
      </w:pPr>
      <w:rPr>
        <w:rFonts w:ascii="Symbol" w:hAnsi="Symbol" w:cs="Symbol" w:hint="default"/>
        <w:rFonts w:cs="Symbo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4">
    <w:lvl w:ilvl="0">
      <w:start w:val="1"/>
      <w:numFmt w:val="decimal"/>
      <w:lvlText w:val="%1."/>
      <w:lvlJc w:val="left"/>
      <w:pPr>
        <w:tabs>
          <w:tab w:val="num" w:pos="360"/>
        </w:tabs>
        <w:ind w:left="360" w:hanging="360"/>
      </w:pPr>
      <w:rPr/>
    </w:lvl>
    <w:lvl w:ilvl="1">
      <w:start w:val="1"/>
      <w:numFmt w:val="lowerLetter"/>
      <w:lvlText w:val="%2."/>
      <w:lvlJc w:val="left"/>
      <w:pPr>
        <w:tabs>
          <w:tab w:val="num" w:pos="1080"/>
        </w:tabs>
        <w:ind w:left="1080" w:hanging="360"/>
      </w:pPr>
      <w:rPr/>
    </w:lvl>
    <w:lvl w:ilvl="2">
      <w:start w:val="1"/>
      <w:numFmt w:val="lowerRoman"/>
      <w:lvlText w:val="%3."/>
      <w:lvlJc w:val="right"/>
      <w:pPr>
        <w:tabs>
          <w:tab w:val="num" w:pos="1800"/>
        </w:tabs>
        <w:ind w:left="1800" w:hanging="180"/>
      </w:pPr>
      <w:rPr/>
    </w:lvl>
    <w:lvl w:ilvl="3">
      <w:start w:val="1"/>
      <w:numFmt w:val="decimal"/>
      <w:lvlText w:val="%4."/>
      <w:lvlJc w:val="left"/>
      <w:pPr>
        <w:tabs>
          <w:tab w:val="num" w:pos="2520"/>
        </w:tabs>
        <w:ind w:left="2520" w:hanging="360"/>
      </w:pPr>
      <w:rPr/>
    </w:lvl>
    <w:lvl w:ilvl="4">
      <w:start w:val="1"/>
      <w:numFmt w:val="lowerLetter"/>
      <w:lvlText w:val="%5."/>
      <w:lvlJc w:val="left"/>
      <w:pPr>
        <w:tabs>
          <w:tab w:val="num" w:pos="3240"/>
        </w:tabs>
        <w:ind w:left="3240" w:hanging="360"/>
      </w:pPr>
      <w:rPr/>
    </w:lvl>
    <w:lvl w:ilvl="5">
      <w:start w:val="1"/>
      <w:numFmt w:val="lowerRoman"/>
      <w:lvlText w:val="%6."/>
      <w:lvlJc w:val="right"/>
      <w:pPr>
        <w:tabs>
          <w:tab w:val="num" w:pos="3960"/>
        </w:tabs>
        <w:ind w:left="3960" w:hanging="180"/>
      </w:pPr>
      <w:rPr/>
    </w:lvl>
    <w:lvl w:ilvl="6">
      <w:start w:val="1"/>
      <w:numFmt w:val="decimal"/>
      <w:lvlText w:val="%7."/>
      <w:lvlJc w:val="left"/>
      <w:pPr>
        <w:tabs>
          <w:tab w:val="num" w:pos="4680"/>
        </w:tabs>
        <w:ind w:left="4680" w:hanging="360"/>
      </w:pPr>
      <w:rPr/>
    </w:lvl>
    <w:lvl w:ilvl="7">
      <w:start w:val="1"/>
      <w:numFmt w:val="lowerLetter"/>
      <w:lvlText w:val="%8."/>
      <w:lvlJc w:val="left"/>
      <w:pPr>
        <w:tabs>
          <w:tab w:val="num" w:pos="5400"/>
        </w:tabs>
        <w:ind w:left="5400" w:hanging="360"/>
      </w:pPr>
      <w:rPr/>
    </w:lvl>
    <w:lvl w:ilvl="8">
      <w:start w:val="1"/>
      <w:numFmt w:val="lowerRoman"/>
      <w:lvlText w:val="%9."/>
      <w:lvlJc w:val="right"/>
      <w:pPr>
        <w:tabs>
          <w:tab w:val="num" w:pos="6120"/>
        </w:tabs>
        <w:ind w:left="6120" w:hanging="180"/>
      </w:pPr>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decimal"/>
      <w:lvlText w:val="%1."/>
      <w:lvlJc w:val="left"/>
      <w:pPr>
        <w:ind w:left="720" w:hanging="360"/>
      </w:pPr>
      <w:rPr>
        <w:rFonts w:eastAsia="Times New Roman" w:cs="Arial"/>
        <w:color w:val="auto"/>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sz w:val="22"/>
        <w:b/>
        <w:szCs w:val="22"/>
        <w:bCs/>
        <w:rFonts w:ascii="Arial" w:hAnsi="Arial" w:cs="Arial"/>
        <w:color w:val="FF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isplayBackgroundShape/>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0"/>
      <w:lang w:val="en-GB" w:eastAsia="en-US" w:bidi="ar-SA"/>
    </w:rPr>
  </w:style>
  <w:style w:type="paragraph" w:styleId="Heading1">
    <w:name w:val="Heading 1"/>
    <w:basedOn w:val="Normal"/>
    <w:next w:val="Normal"/>
    <w:qFormat/>
    <w:pPr>
      <w:keepNext w:val="true"/>
      <w:jc w:val="center"/>
      <w:outlineLvl w:val="0"/>
    </w:pPr>
    <w:rPr>
      <w:kern w:val="2"/>
      <w:sz w:val="28"/>
      <w:u w:val="single"/>
    </w:rPr>
  </w:style>
  <w:style w:type="paragraph" w:styleId="Heading2">
    <w:name w:val="Heading 2"/>
    <w:basedOn w:val="Normal"/>
    <w:next w:val="Normal"/>
    <w:qFormat/>
    <w:pPr>
      <w:keepNext w:val="true"/>
      <w:outlineLvl w:val="1"/>
    </w:pPr>
    <w:rPr>
      <w:u w:val="single"/>
    </w:rPr>
  </w:style>
  <w:style w:type="paragraph" w:styleId="Heading3">
    <w:name w:val="Heading 3"/>
    <w:basedOn w:val="Normal"/>
    <w:next w:val="Normal"/>
    <w:qFormat/>
    <w:pPr>
      <w:keepNext w:val="true"/>
      <w:outlineLvl w:val="2"/>
    </w:pPr>
    <w:rPr>
      <w:b/>
    </w:rPr>
  </w:style>
  <w:style w:type="paragraph" w:styleId="Heading4">
    <w:name w:val="Heading 4"/>
    <w:basedOn w:val="Normal"/>
    <w:next w:val="Normal"/>
    <w:qFormat/>
    <w:pPr>
      <w:keepNext w:val="true"/>
      <w:outlineLvl w:val="3"/>
    </w:pPr>
    <w:rPr>
      <w:rFonts w:ascii="Arial" w:hAnsi="Arial" w:cs="Arial"/>
      <w:b/>
      <w:bCs/>
      <w:sz w:val="22"/>
    </w:rPr>
  </w:style>
  <w:style w:type="paragraph" w:styleId="Heading5">
    <w:name w:val="Heading 5"/>
    <w:basedOn w:val="Normal"/>
    <w:next w:val="Normal"/>
    <w:qFormat/>
    <w:pPr>
      <w:keepNext w:val="true"/>
      <w:spacing w:before="140" w:after="140"/>
      <w:ind w:left="-107" w:right="-249" w:hanging="0"/>
      <w:jc w:val="center"/>
      <w:outlineLvl w:val="4"/>
    </w:pPr>
    <w:rPr>
      <w:rFonts w:ascii="Arial" w:hAnsi="Arial" w:cs="Arial"/>
      <w:b/>
      <w:caps/>
    </w:rPr>
  </w:style>
  <w:style w:type="paragraph" w:styleId="Heading6">
    <w:name w:val="Heading 6"/>
    <w:basedOn w:val="Normal"/>
    <w:next w:val="Normal"/>
    <w:qFormat/>
    <w:pPr>
      <w:keepNext w:val="true"/>
      <w:numPr>
        <w:ilvl w:val="0"/>
        <w:numId w:val="1"/>
      </w:numPr>
      <w:ind w:left="709" w:right="0" w:hanging="709"/>
      <w:jc w:val="both"/>
      <w:outlineLvl w:val="0"/>
    </w:pPr>
    <w:rPr>
      <w:rFonts w:ascii="Arial" w:hAnsi="Arial" w:cs="Arial"/>
      <w:b/>
      <w:lang w:eastAsia="en-GB"/>
    </w:rPr>
  </w:style>
  <w:style w:type="paragraph" w:styleId="Heading7">
    <w:name w:val="Heading 7"/>
    <w:basedOn w:val="Normal"/>
    <w:next w:val="Normal"/>
    <w:qFormat/>
    <w:pPr>
      <w:keepNext w:val="true"/>
      <w:ind w:left="-107" w:right="0" w:hanging="0"/>
      <w:outlineLvl w:val="6"/>
    </w:pPr>
    <w:rPr>
      <w:rFonts w:ascii="Arial" w:hAnsi="Arial" w:cs="Arial"/>
      <w:b/>
      <w:caps/>
    </w:rPr>
  </w:style>
  <w:style w:type="paragraph" w:styleId="Heading8">
    <w:name w:val="Heading 8"/>
    <w:basedOn w:val="Normal"/>
    <w:next w:val="Normal"/>
    <w:qFormat/>
    <w:pPr>
      <w:keepNext w:val="true"/>
      <w:spacing w:before="140" w:after="140"/>
      <w:ind w:left="-107" w:right="0" w:hanging="0"/>
      <w:jc w:val="center"/>
      <w:outlineLvl w:val="7"/>
    </w:pPr>
    <w:rPr>
      <w:rFonts w:ascii="Arial" w:hAnsi="Arial" w:cs="Arial"/>
      <w:b/>
      <w:caps/>
    </w:rPr>
  </w:style>
  <w:style w:type="paragraph" w:styleId="Heading9">
    <w:name w:val="Heading 9"/>
    <w:basedOn w:val="Normal"/>
    <w:next w:val="Normal"/>
    <w:qFormat/>
    <w:pPr>
      <w:keepNext w:val="true"/>
      <w:spacing w:before="140" w:after="140"/>
      <w:ind w:left="-65" w:right="0" w:hanging="0"/>
      <w:jc w:val="center"/>
      <w:outlineLvl w:val="8"/>
    </w:pPr>
    <w:rPr>
      <w:rFonts w:ascii="Arial" w:hAnsi="Arial" w:cs="Arial"/>
      <w:b/>
      <w:caps/>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eastAsia="Times New Roman" w:cs="Arial"/>
      <w:color w:val="auto"/>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Arial" w:hAnsi="Arial" w:cs="Arial"/>
      <w:b/>
      <w:bCs/>
      <w:color w:val="FF0000"/>
      <w:sz w:val="22"/>
      <w:szCs w:val="22"/>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DefaultParagraphFont">
    <w:name w:val="Default Paragraph Font"/>
    <w:qFormat/>
    <w:rPr/>
  </w:style>
  <w:style w:type="character" w:styleId="Pagenumber">
    <w:name w:val="page number"/>
    <w:basedOn w:val="DefaultParagraphFont"/>
    <w:qFormat/>
    <w:rPr/>
  </w:style>
  <w:style w:type="character" w:styleId="InternetLink">
    <w:name w:val="Internet Link"/>
    <w:rPr>
      <w:color w:val="0000FF"/>
      <w:u w:val="single"/>
    </w:rPr>
  </w:style>
  <w:style w:type="character" w:styleId="FollowedHyperlink">
    <w:name w:val="FollowedHyperlink"/>
    <w:qFormat/>
    <w:rPr>
      <w:color w:val="800080"/>
      <w:u w:val="single"/>
    </w:rPr>
  </w:style>
  <w:style w:type="character" w:styleId="UnresolvedMention">
    <w:name w:val="Unresolved Mention"/>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ascii="Arial" w:hAnsi="Arial" w:cs="Arial"/>
      <w:bCs/>
      <w:sz w:val="22"/>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Quotes">
    <w:name w:val="quotes"/>
    <w:basedOn w:val="Normal"/>
    <w:next w:val="Normal"/>
    <w:qFormat/>
    <w:pPr>
      <w:ind w:left="720" w:right="720" w:hanging="0"/>
    </w:pPr>
    <w:rPr>
      <w:i/>
    </w:rPr>
  </w:style>
  <w:style w:type="paragraph" w:styleId="HeaderandFooter">
    <w:name w:val="Header and Footer"/>
    <w:basedOn w:val="Normal"/>
    <w:qFormat/>
    <w:pPr/>
    <w:rPr/>
  </w:style>
  <w:style w:type="paragraph" w:styleId="Footer">
    <w:name w:val="Footer"/>
    <w:basedOn w:val="Normal"/>
    <w:pPr>
      <w:tabs>
        <w:tab w:val="clear" w:pos="720"/>
        <w:tab w:val="center" w:pos="4320" w:leader="none"/>
        <w:tab w:val="right" w:pos="8640" w:leader="none"/>
      </w:tabs>
    </w:pPr>
    <w:rPr/>
  </w:style>
  <w:style w:type="paragraph" w:styleId="Header">
    <w:name w:val="Header"/>
    <w:basedOn w:val="Normal"/>
    <w:pPr>
      <w:tabs>
        <w:tab w:val="clear" w:pos="720"/>
        <w:tab w:val="center" w:pos="4153" w:leader="none"/>
        <w:tab w:val="right" w:pos="8306" w:leader="none"/>
      </w:tabs>
    </w:pPr>
    <w:rPr/>
  </w:style>
  <w:style w:type="paragraph" w:styleId="TextBodyIndent">
    <w:name w:val="Body Text Indent"/>
    <w:basedOn w:val="Normal"/>
    <w:pPr>
      <w:ind w:left="284" w:right="0" w:hanging="720"/>
    </w:pPr>
    <w:rPr>
      <w:rFonts w:ascii="Arial" w:hAnsi="Arial" w:cs="Arial"/>
      <w:sz w:val="22"/>
    </w:rPr>
  </w:style>
  <w:style w:type="paragraph" w:styleId="BodyTextIndent2">
    <w:name w:val="Body Text Indent 2"/>
    <w:basedOn w:val="Normal"/>
    <w:qFormat/>
    <w:pPr>
      <w:ind w:left="-76" w:right="0" w:hanging="0"/>
    </w:pPr>
    <w:rPr>
      <w:rFonts w:ascii="Arial" w:hAnsi="Arial" w:cs="Arial"/>
      <w:b/>
      <w:bCs/>
      <w:sz w:val="22"/>
    </w:rPr>
  </w:style>
  <w:style w:type="paragraph" w:styleId="NormalWeb">
    <w:name w:val="Normal (Web)"/>
    <w:basedOn w:val="Normal"/>
    <w:qFormat/>
    <w:pPr>
      <w:spacing w:before="100" w:after="100"/>
    </w:pPr>
    <w:rPr>
      <w:rFonts w:ascii="Arial Unicode MS" w:hAnsi="Arial Unicode MS" w:eastAsia="Arial Unicode MS" w:cs="Arial Unicode MS"/>
      <w:szCs w:val="24"/>
    </w:rPr>
  </w:style>
  <w:style w:type="paragraph" w:styleId="ErSer">
    <w:name w:val="er Ser"/>
    <w:basedOn w:val="Normal"/>
    <w:qFormat/>
    <w:pPr>
      <w:tabs>
        <w:tab w:val="clear" w:pos="720"/>
        <w:tab w:val="left" w:pos="990" w:leader="none"/>
      </w:tabs>
    </w:pPr>
    <w:rPr>
      <w:rFonts w:ascii="Arial" w:hAnsi="Arial" w:cs="Arial"/>
      <w:sz w:val="22"/>
    </w:rPr>
  </w:style>
  <w:style w:type="paragraph" w:styleId="Footnote">
    <w:name w:val="Footnote Text"/>
    <w:basedOn w:val="Normal"/>
    <w:pPr/>
    <w:rPr>
      <w:sz w:val="20"/>
    </w:rPr>
  </w:style>
  <w:style w:type="paragraph" w:styleId="BodyText2">
    <w:name w:val="Body Text 2"/>
    <w:basedOn w:val="Normal"/>
    <w:qFormat/>
    <w:pPr>
      <w:tabs>
        <w:tab w:val="clear" w:pos="720"/>
        <w:tab w:val="left" w:pos="3240" w:leader="none"/>
      </w:tabs>
    </w:pPr>
    <w:rPr>
      <w:rFonts w:ascii="Arial" w:hAnsi="Arial" w:cs="Arial"/>
      <w:color w:val="000000"/>
      <w:sz w:val="22"/>
      <w:szCs w:val="24"/>
      <w:lang w:val="en-US"/>
    </w:rPr>
  </w:style>
  <w:style w:type="paragraph" w:styleId="BodyText3">
    <w:name w:val="Body Text 3"/>
    <w:basedOn w:val="Normal"/>
    <w:qFormat/>
    <w:pPr/>
    <w:rPr>
      <w:rFonts w:ascii="Arial" w:hAnsi="Arial" w:cs="Arial"/>
      <w:bCs/>
      <w:sz w:val="22"/>
      <w:u w:val="single"/>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ind w:left="720" w:right="0" w:hanging="0"/>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London Borough of Enfield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2026-07-21T12:36:00Z</dcterms:created>
  <dc:creator>SUP</dc:creator>
  <dc:description/>
  <dc:language>en-US</dc:language>
  <cp:lastModifiedBy>Debola Olufon</cp:lastModifiedBy>
  <cp:lastPrinted>1995-11-21T17:41:00Z</cp:lastPrinted>
  <dcterms:modified xsi:type="dcterms:W3CDTF">2026-07-21T12:36:00Z</dcterms:modified>
  <cp:revision>2</cp:revision>
  <dc:subject>PROFORMA JOB DESCRIPTION</dc:subject>
  <dc:title>HOS Grade Job Role Profile and Person Specification - Template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London Borough of Enfield</vt:lpwstr>
  </property>
  <property fmtid="{D5CDD505-2E9C-101B-9397-08002B2CF9AE}" pid="4" name="ContentTypeId">
    <vt:lpwstr>0x010100C9683CE0E06AE1428A0FEA4FB8E8D30A</vt:lpwstr>
  </property>
  <property fmtid="{D5CDD505-2E9C-101B-9397-08002B2CF9AE}" pid="5" name="DocSecurity">
    <vt:i4>0</vt:i4>
  </property>
  <property fmtid="{D5CDD505-2E9C-101B-9397-08002B2CF9AE}" pid="6" name="HyperlinksChanged">
    <vt:bool>0</vt:bool>
  </property>
  <property fmtid="{D5CDD505-2E9C-101B-9397-08002B2CF9AE}" pid="7" name="LBE Classification">
    <vt:lpwstr>1;#OFFICIAL|202decae-6396-4886-b285-d039d6d668bd</vt:lpwstr>
  </property>
  <property fmtid="{D5CDD505-2E9C-101B-9397-08002B2CF9AE}" pid="8" name="LBE Record Type">
    <vt:lpwstr>2;#017_LBE_Intranet_HR|48643eb5-46f8-4fdb-9666-6aae09909773</vt:lpwstr>
  </property>
  <property fmtid="{D5CDD505-2E9C-101B-9397-08002B2CF9AE}" pid="9" name="LBE_x0020_Classification">
    <vt:lpwstr>1;#OFFICIAL|202decae-6396-4886-b285-d039d6d668bd</vt:lpwstr>
  </property>
  <property fmtid="{D5CDD505-2E9C-101B-9397-08002B2CF9AE}" pid="10" name="LBE_x0020_Record_x0020_Type">
    <vt:lpwstr>2;#017_LBE_Intranet_HR|48643eb5-46f8-4fdb-9666-6aae09909773</vt:lpwstr>
  </property>
  <property fmtid="{D5CDD505-2E9C-101B-9397-08002B2CF9AE}" pid="11" name="LinksUpToDate">
    <vt:bool>0</vt:bool>
  </property>
  <property fmtid="{D5CDD505-2E9C-101B-9397-08002B2CF9AE}" pid="12" name="Local Classification">
    <vt:lpwstr>41;#Job Role Evaluation|9ba30d0d-6fbb-43ef-b582-5cf2d026cefa</vt:lpwstr>
  </property>
  <property fmtid="{D5CDD505-2E9C-101B-9397-08002B2CF9AE}" pid="13" name="Local_x0020_Classification">
    <vt:lpwstr>41;#Job Role Evaluation|9ba30d0d-6fbb-43ef-b582-5cf2d026cefa</vt:lpwstr>
  </property>
  <property fmtid="{D5CDD505-2E9C-101B-9397-08002B2CF9AE}" pid="14" name="ScaleCrop">
    <vt:bool>0</vt:bool>
  </property>
  <property fmtid="{D5CDD505-2E9C-101B-9397-08002B2CF9AE}" pid="15" name="ShareDoc">
    <vt:bool>0</vt:bool>
  </property>
</Properties>
</file>